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BD28" w14:textId="2EB9D0E1" w:rsidR="00ED5F8E" w:rsidRDefault="00ED5F8E" w:rsidP="00A7134D">
      <w:pPr>
        <w:pStyle w:val="paragraph"/>
        <w:spacing w:before="0" w:beforeAutospacing="0" w:after="0" w:afterAutospacing="0"/>
        <w:textAlignment w:val="baseline"/>
      </w:pPr>
    </w:p>
    <w:p w14:paraId="78D2EF58" w14:textId="0EEAF348" w:rsidR="000D29A0" w:rsidRDefault="000D29A0" w:rsidP="000D29A0">
      <w:pPr>
        <w:jc w:val="right"/>
      </w:pPr>
      <w:r>
        <w:rPr>
          <w:noProof/>
          <w:lang w:val="en-US"/>
        </w:rPr>
        <w:drawing>
          <wp:anchor distT="0" distB="0" distL="114300" distR="114300" simplePos="0" relativeHeight="251658240" behindDoc="0" locked="0" layoutInCell="1" allowOverlap="1" wp14:anchorId="0B47044A" wp14:editId="07777777">
            <wp:simplePos x="3829050" y="914400"/>
            <wp:positionH relativeFrom="margin">
              <wp:align>right</wp:align>
            </wp:positionH>
            <wp:positionV relativeFrom="margin">
              <wp:align>top</wp:align>
            </wp:positionV>
            <wp:extent cx="2818800" cy="1237831"/>
            <wp:effectExtent l="0" t="0" r="63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 Logo_medium.jpg"/>
                    <pic:cNvPicPr/>
                  </pic:nvPicPr>
                  <pic:blipFill>
                    <a:blip r:embed="rId11">
                      <a:extLst>
                        <a:ext uri="{28A0092B-C50C-407E-A947-70E740481C1C}">
                          <a14:useLocalDpi xmlns:a14="http://schemas.microsoft.com/office/drawing/2010/main" val="0"/>
                        </a:ext>
                      </a:extLst>
                    </a:blip>
                    <a:stretch>
                      <a:fillRect/>
                    </a:stretch>
                  </pic:blipFill>
                  <pic:spPr>
                    <a:xfrm>
                      <a:off x="0" y="0"/>
                      <a:ext cx="2818800" cy="1237831"/>
                    </a:xfrm>
                    <a:prstGeom prst="rect">
                      <a:avLst/>
                    </a:prstGeom>
                  </pic:spPr>
                </pic:pic>
              </a:graphicData>
            </a:graphic>
          </wp:anchor>
        </w:drawing>
      </w:r>
    </w:p>
    <w:p w14:paraId="672A6659" w14:textId="77777777" w:rsidR="000D29A0" w:rsidRDefault="000D29A0" w:rsidP="000D29A0">
      <w:pPr>
        <w:jc w:val="right"/>
      </w:pPr>
    </w:p>
    <w:p w14:paraId="0A37501D" w14:textId="77777777" w:rsidR="000D29A0" w:rsidRDefault="000D29A0" w:rsidP="000D29A0">
      <w:pPr>
        <w:jc w:val="right"/>
      </w:pPr>
    </w:p>
    <w:p w14:paraId="5DAB6C7B" w14:textId="77777777" w:rsidR="00241629" w:rsidRDefault="00241629" w:rsidP="000D29A0">
      <w:pPr>
        <w:jc w:val="right"/>
      </w:pPr>
    </w:p>
    <w:p w14:paraId="02EB378F" w14:textId="77777777" w:rsidR="00241629" w:rsidRDefault="00241629" w:rsidP="000D29A0">
      <w:pPr>
        <w:jc w:val="right"/>
      </w:pPr>
    </w:p>
    <w:p w14:paraId="6A05A809" w14:textId="77777777" w:rsidR="00241629" w:rsidRDefault="00241629" w:rsidP="000D29A0">
      <w:pPr>
        <w:jc w:val="right"/>
      </w:pPr>
    </w:p>
    <w:p w14:paraId="5A39BBE3" w14:textId="77777777" w:rsidR="00241629" w:rsidRDefault="00241629" w:rsidP="00241629"/>
    <w:p w14:paraId="41C8F396" w14:textId="77777777" w:rsidR="000D29A0" w:rsidRDefault="000D29A0" w:rsidP="000D29A0">
      <w:pPr>
        <w:jc w:val="right"/>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B2E62" w14:paraId="3C35FBF7" w14:textId="77777777" w:rsidTr="5B1A1204">
        <w:tc>
          <w:tcPr>
            <w:tcW w:w="4621" w:type="dxa"/>
            <w:shd w:val="clear" w:color="auto" w:fill="D9D9D9" w:themeFill="background1" w:themeFillShade="D9"/>
            <w:vAlign w:val="center"/>
          </w:tcPr>
          <w:p w14:paraId="2F63F055" w14:textId="77777777" w:rsidR="00EB2E62" w:rsidRPr="004B37BB" w:rsidRDefault="00EB2E62" w:rsidP="00026A2D">
            <w:pPr>
              <w:spacing w:before="100" w:after="100"/>
            </w:pPr>
            <w:r w:rsidRPr="004B37BB">
              <w:t>Policy &amp; Procedure</w:t>
            </w:r>
          </w:p>
        </w:tc>
        <w:tc>
          <w:tcPr>
            <w:tcW w:w="4621" w:type="dxa"/>
            <w:vAlign w:val="center"/>
          </w:tcPr>
          <w:p w14:paraId="4853E4AC" w14:textId="2F245251" w:rsidR="00EB2E62" w:rsidRPr="004B37BB" w:rsidRDefault="006F5D49" w:rsidP="00026A2D">
            <w:pPr>
              <w:spacing w:before="100" w:after="100"/>
            </w:pPr>
            <w:r>
              <w:t xml:space="preserve">Fee Waiver </w:t>
            </w:r>
            <w:r w:rsidR="00497AAA">
              <w:t>Policy 2022-23</w:t>
            </w:r>
          </w:p>
        </w:tc>
      </w:tr>
      <w:tr w:rsidR="00EB2E62" w14:paraId="15F747CD" w14:textId="77777777" w:rsidTr="5B1A1204">
        <w:tc>
          <w:tcPr>
            <w:tcW w:w="4621" w:type="dxa"/>
            <w:shd w:val="clear" w:color="auto" w:fill="D9D9D9" w:themeFill="background1" w:themeFillShade="D9"/>
            <w:vAlign w:val="center"/>
          </w:tcPr>
          <w:p w14:paraId="7C1ED9A5" w14:textId="77777777" w:rsidR="00EB2E62" w:rsidRPr="004B37BB" w:rsidRDefault="00EB2E62" w:rsidP="00026A2D">
            <w:pPr>
              <w:spacing w:before="100" w:after="100"/>
            </w:pPr>
            <w:r>
              <w:t>Policy Area</w:t>
            </w:r>
          </w:p>
        </w:tc>
        <w:tc>
          <w:tcPr>
            <w:tcW w:w="4621" w:type="dxa"/>
            <w:vAlign w:val="center"/>
          </w:tcPr>
          <w:p w14:paraId="3A2F2879" w14:textId="77777777" w:rsidR="00EB2E62" w:rsidRPr="004B37BB" w:rsidRDefault="00EB2E62" w:rsidP="00026A2D">
            <w:pPr>
              <w:spacing w:before="100" w:after="100"/>
            </w:pPr>
            <w:r>
              <w:t>Finance</w:t>
            </w:r>
          </w:p>
        </w:tc>
      </w:tr>
      <w:tr w:rsidR="00EB2E62" w14:paraId="1F7BB96F" w14:textId="77777777" w:rsidTr="5B1A1204">
        <w:tc>
          <w:tcPr>
            <w:tcW w:w="4621" w:type="dxa"/>
            <w:shd w:val="clear" w:color="auto" w:fill="D9D9D9" w:themeFill="background1" w:themeFillShade="D9"/>
            <w:vAlign w:val="center"/>
          </w:tcPr>
          <w:p w14:paraId="574966AB" w14:textId="77777777" w:rsidR="00EB2E62" w:rsidRPr="004B37BB" w:rsidRDefault="00EB2E62" w:rsidP="00026A2D">
            <w:pPr>
              <w:spacing w:before="100" w:after="100"/>
            </w:pPr>
            <w:r w:rsidRPr="004B37BB">
              <w:t>Version Number</w:t>
            </w:r>
          </w:p>
        </w:tc>
        <w:tc>
          <w:tcPr>
            <w:tcW w:w="4621" w:type="dxa"/>
            <w:vAlign w:val="center"/>
          </w:tcPr>
          <w:p w14:paraId="5B4507BE" w14:textId="49C7889E" w:rsidR="00EB2E62" w:rsidRPr="004B37BB" w:rsidRDefault="006A6634" w:rsidP="006F5D49">
            <w:pPr>
              <w:spacing w:before="100" w:after="100"/>
            </w:pPr>
            <w:r>
              <w:t>02</w:t>
            </w:r>
          </w:p>
        </w:tc>
      </w:tr>
      <w:tr w:rsidR="00EB2E62" w14:paraId="23858FED" w14:textId="77777777" w:rsidTr="5B1A1204">
        <w:tc>
          <w:tcPr>
            <w:tcW w:w="4621" w:type="dxa"/>
            <w:shd w:val="clear" w:color="auto" w:fill="D9D9D9" w:themeFill="background1" w:themeFillShade="D9"/>
            <w:vAlign w:val="center"/>
          </w:tcPr>
          <w:p w14:paraId="301D17B9" w14:textId="77777777" w:rsidR="00EB2E62" w:rsidRPr="004B37BB" w:rsidRDefault="00EB2E62" w:rsidP="00026A2D">
            <w:pPr>
              <w:spacing w:before="100" w:after="100"/>
            </w:pPr>
            <w:r>
              <w:t>Approving Committee</w:t>
            </w:r>
          </w:p>
        </w:tc>
        <w:tc>
          <w:tcPr>
            <w:tcW w:w="4621" w:type="dxa"/>
            <w:vAlign w:val="center"/>
          </w:tcPr>
          <w:p w14:paraId="28673877" w14:textId="77777777" w:rsidR="00EB2E62" w:rsidRPr="004B37BB" w:rsidRDefault="00EB2E62" w:rsidP="00026A2D">
            <w:pPr>
              <w:spacing w:before="100" w:after="100"/>
            </w:pPr>
            <w:r>
              <w:t>SMT</w:t>
            </w:r>
          </w:p>
        </w:tc>
      </w:tr>
      <w:tr w:rsidR="00EB2E62" w14:paraId="39BFC406" w14:textId="77777777" w:rsidTr="5B1A1204">
        <w:tc>
          <w:tcPr>
            <w:tcW w:w="4621" w:type="dxa"/>
            <w:shd w:val="clear" w:color="auto" w:fill="D9D9D9" w:themeFill="background1" w:themeFillShade="D9"/>
            <w:vAlign w:val="center"/>
          </w:tcPr>
          <w:p w14:paraId="59493BBC" w14:textId="77777777" w:rsidR="00EB2E62" w:rsidRDefault="00EB2E62" w:rsidP="00026A2D">
            <w:pPr>
              <w:spacing w:before="100" w:after="100"/>
            </w:pPr>
            <w:r>
              <w:t>Date of Approval</w:t>
            </w:r>
          </w:p>
        </w:tc>
        <w:tc>
          <w:tcPr>
            <w:tcW w:w="4621" w:type="dxa"/>
            <w:vAlign w:val="center"/>
          </w:tcPr>
          <w:p w14:paraId="029FDC86" w14:textId="7B9C66D6" w:rsidR="00EB2E62" w:rsidRPr="004B37BB" w:rsidRDefault="004B1E8F" w:rsidP="00B37A54">
            <w:pPr>
              <w:spacing w:before="100" w:after="100"/>
            </w:pPr>
            <w:r>
              <w:t>July</w:t>
            </w:r>
            <w:r w:rsidR="008668C7">
              <w:t xml:space="preserve"> </w:t>
            </w:r>
            <w:r w:rsidR="006A6634">
              <w:t>2022</w:t>
            </w:r>
          </w:p>
        </w:tc>
      </w:tr>
      <w:tr w:rsidR="00EB2E62" w14:paraId="50DD0876" w14:textId="77777777" w:rsidTr="5B1A1204">
        <w:tc>
          <w:tcPr>
            <w:tcW w:w="4621" w:type="dxa"/>
            <w:shd w:val="clear" w:color="auto" w:fill="D9D9D9" w:themeFill="background1" w:themeFillShade="D9"/>
            <w:vAlign w:val="center"/>
          </w:tcPr>
          <w:p w14:paraId="47A87446" w14:textId="77777777" w:rsidR="00EB2E62" w:rsidRDefault="00EB2E62" w:rsidP="00026A2D">
            <w:pPr>
              <w:spacing w:before="100" w:after="100"/>
            </w:pPr>
            <w:r>
              <w:t>Date of Equality Impact Assessment</w:t>
            </w:r>
          </w:p>
        </w:tc>
        <w:tc>
          <w:tcPr>
            <w:tcW w:w="4621" w:type="dxa"/>
            <w:vAlign w:val="center"/>
          </w:tcPr>
          <w:p w14:paraId="72A3D3EC" w14:textId="12C97786" w:rsidR="00EB2E62" w:rsidRPr="004B37BB" w:rsidRDefault="7E10B335" w:rsidP="00026A2D">
            <w:pPr>
              <w:spacing w:before="100" w:after="100"/>
            </w:pPr>
            <w:r>
              <w:t xml:space="preserve">July </w:t>
            </w:r>
            <w:r w:rsidR="006A6634">
              <w:t>2020</w:t>
            </w:r>
          </w:p>
        </w:tc>
      </w:tr>
      <w:tr w:rsidR="00EB2E62" w14:paraId="42040C11" w14:textId="77777777" w:rsidTr="5B1A1204">
        <w:tc>
          <w:tcPr>
            <w:tcW w:w="4621" w:type="dxa"/>
            <w:shd w:val="clear" w:color="auto" w:fill="D9D9D9" w:themeFill="background1" w:themeFillShade="D9"/>
            <w:vAlign w:val="center"/>
          </w:tcPr>
          <w:p w14:paraId="2E9B9AB1" w14:textId="1C490F5F" w:rsidR="00EB2E62" w:rsidRDefault="00EB2E62" w:rsidP="00026A2D">
            <w:pPr>
              <w:spacing w:before="100" w:after="100"/>
            </w:pPr>
            <w:r>
              <w:t xml:space="preserve">Date of </w:t>
            </w:r>
            <w:r w:rsidR="00EF2909">
              <w:t xml:space="preserve">Next </w:t>
            </w:r>
            <w:r>
              <w:t>Review</w:t>
            </w:r>
          </w:p>
        </w:tc>
        <w:tc>
          <w:tcPr>
            <w:tcW w:w="4621" w:type="dxa"/>
            <w:vAlign w:val="center"/>
          </w:tcPr>
          <w:p w14:paraId="1B9D619F" w14:textId="35BBB89A" w:rsidR="00EB2E62" w:rsidRPr="004B37BB" w:rsidRDefault="009A702C" w:rsidP="00026A2D">
            <w:pPr>
              <w:spacing w:before="100" w:after="100"/>
            </w:pPr>
            <w:r>
              <w:t>July</w:t>
            </w:r>
            <w:r w:rsidR="008668C7">
              <w:t xml:space="preserve"> 20</w:t>
            </w:r>
            <w:r w:rsidR="00EF2909">
              <w:t>2</w:t>
            </w:r>
            <w:r w:rsidR="006A6634">
              <w:t>3</w:t>
            </w:r>
          </w:p>
        </w:tc>
      </w:tr>
      <w:tr w:rsidR="00EB2E62" w14:paraId="2DE789BE" w14:textId="77777777" w:rsidTr="5B1A1204">
        <w:tc>
          <w:tcPr>
            <w:tcW w:w="4621" w:type="dxa"/>
            <w:shd w:val="clear" w:color="auto" w:fill="D9D9D9" w:themeFill="background1" w:themeFillShade="D9"/>
            <w:vAlign w:val="center"/>
          </w:tcPr>
          <w:p w14:paraId="398A70E2" w14:textId="77777777" w:rsidR="00EB2E62" w:rsidRDefault="00EB2E62" w:rsidP="00026A2D">
            <w:pPr>
              <w:spacing w:before="100" w:after="100"/>
            </w:pPr>
            <w:r>
              <w:t>Responsible Senior Manager</w:t>
            </w:r>
          </w:p>
        </w:tc>
        <w:tc>
          <w:tcPr>
            <w:tcW w:w="4621" w:type="dxa"/>
            <w:vAlign w:val="center"/>
          </w:tcPr>
          <w:p w14:paraId="554BD5DE" w14:textId="5D012B27" w:rsidR="00EB2E62" w:rsidRPr="004B37BB" w:rsidRDefault="00E11F63" w:rsidP="00026A2D">
            <w:pPr>
              <w:spacing w:before="100" w:after="100"/>
            </w:pPr>
            <w:r>
              <w:t>Director of Finance</w:t>
            </w:r>
          </w:p>
        </w:tc>
      </w:tr>
    </w:tbl>
    <w:p w14:paraId="0D0B940D" w14:textId="77777777" w:rsidR="000D29A0" w:rsidRDefault="000D29A0" w:rsidP="000D29A0"/>
    <w:p w14:paraId="0E27B00A" w14:textId="77777777" w:rsidR="005A369D" w:rsidRDefault="005A369D" w:rsidP="000D29A0">
      <w:pPr>
        <w:spacing w:after="200" w:line="276" w:lineRule="auto"/>
        <w:sectPr w:rsidR="005A369D" w:rsidSect="00847AD3">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35F512B" w14:textId="77777777" w:rsidR="00026A2D" w:rsidRPr="00747B72" w:rsidRDefault="00026A2D" w:rsidP="00026A2D">
      <w:pPr>
        <w:rPr>
          <w:b/>
          <w:sz w:val="26"/>
          <w:szCs w:val="26"/>
        </w:rPr>
      </w:pPr>
      <w:r w:rsidRPr="00747B72">
        <w:rPr>
          <w:b/>
          <w:sz w:val="26"/>
          <w:szCs w:val="26"/>
        </w:rPr>
        <w:lastRenderedPageBreak/>
        <w:t>History of Amendments</w:t>
      </w:r>
    </w:p>
    <w:p w14:paraId="60061E4C" w14:textId="77777777" w:rsidR="00026A2D" w:rsidRDefault="00026A2D" w:rsidP="00026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4059"/>
      </w:tblGrid>
      <w:tr w:rsidR="00026A2D" w14:paraId="39EF456F" w14:textId="77777777" w:rsidTr="5D9F8088">
        <w:tc>
          <w:tcPr>
            <w:tcW w:w="1413" w:type="dxa"/>
          </w:tcPr>
          <w:p w14:paraId="491072FA" w14:textId="77777777" w:rsidR="00026A2D" w:rsidRPr="000E663A" w:rsidRDefault="00026A2D" w:rsidP="00026A2D">
            <w:pPr>
              <w:spacing w:line="240" w:lineRule="auto"/>
            </w:pPr>
            <w:r>
              <w:t>Date</w:t>
            </w:r>
          </w:p>
        </w:tc>
        <w:tc>
          <w:tcPr>
            <w:tcW w:w="3544" w:type="dxa"/>
          </w:tcPr>
          <w:p w14:paraId="313CA7F9" w14:textId="77777777" w:rsidR="00026A2D" w:rsidRPr="000E663A" w:rsidRDefault="00026A2D" w:rsidP="00026A2D">
            <w:pPr>
              <w:spacing w:line="240" w:lineRule="auto"/>
            </w:pPr>
            <w:r>
              <w:t>Version/Pages/Sections Affected</w:t>
            </w:r>
          </w:p>
        </w:tc>
        <w:tc>
          <w:tcPr>
            <w:tcW w:w="4059" w:type="dxa"/>
          </w:tcPr>
          <w:p w14:paraId="02694D00" w14:textId="77777777" w:rsidR="00026A2D" w:rsidRPr="000E663A" w:rsidRDefault="00026A2D" w:rsidP="00026A2D">
            <w:pPr>
              <w:spacing w:line="240" w:lineRule="auto"/>
            </w:pPr>
            <w:r>
              <w:t>Summary of changes</w:t>
            </w:r>
          </w:p>
        </w:tc>
      </w:tr>
      <w:tr w:rsidR="000E3BDE" w14:paraId="44EAFD9C" w14:textId="77777777" w:rsidTr="5D9F8088">
        <w:tc>
          <w:tcPr>
            <w:tcW w:w="1413" w:type="dxa"/>
          </w:tcPr>
          <w:p w14:paraId="1885076F" w14:textId="77777777" w:rsidR="0083741B" w:rsidRDefault="00AC6484" w:rsidP="00DD1A9D">
            <w:pPr>
              <w:spacing w:line="240" w:lineRule="auto"/>
            </w:pPr>
            <w:r>
              <w:t>9 August 2021</w:t>
            </w:r>
          </w:p>
          <w:p w14:paraId="263DEABC" w14:textId="77777777" w:rsidR="0083741B" w:rsidRDefault="0083741B" w:rsidP="00DD1A9D">
            <w:pPr>
              <w:spacing w:line="240" w:lineRule="auto"/>
            </w:pPr>
          </w:p>
          <w:p w14:paraId="5F71B58D" w14:textId="77777777" w:rsidR="00272414" w:rsidRDefault="00272414" w:rsidP="00DD1A9D">
            <w:pPr>
              <w:spacing w:line="240" w:lineRule="auto"/>
            </w:pPr>
          </w:p>
          <w:p w14:paraId="116E67F5" w14:textId="77777777" w:rsidR="00533EDF" w:rsidRDefault="00533EDF" w:rsidP="00DD1A9D">
            <w:pPr>
              <w:spacing w:line="240" w:lineRule="auto"/>
            </w:pPr>
          </w:p>
          <w:p w14:paraId="4B94D5A5" w14:textId="404425E4" w:rsidR="000E3BDE" w:rsidRDefault="006A6634" w:rsidP="00DD1A9D">
            <w:pPr>
              <w:spacing w:line="240" w:lineRule="auto"/>
            </w:pPr>
            <w:r>
              <w:t>16 June 22</w:t>
            </w:r>
          </w:p>
        </w:tc>
        <w:tc>
          <w:tcPr>
            <w:tcW w:w="3544" w:type="dxa"/>
          </w:tcPr>
          <w:p w14:paraId="3DEEC669" w14:textId="5B5A1FA2" w:rsidR="000E3BDE" w:rsidRDefault="0083741B" w:rsidP="00DD1A9D">
            <w:pPr>
              <w:spacing w:line="240" w:lineRule="auto"/>
            </w:pPr>
            <w:r>
              <w:t>1.</w:t>
            </w:r>
            <w:r w:rsidR="00AC6484">
              <w:t xml:space="preserve"> Eligible Status</w:t>
            </w:r>
          </w:p>
          <w:p w14:paraId="06A37822" w14:textId="48447476" w:rsidR="00AC6484" w:rsidRDefault="00AC6484" w:rsidP="00DD1A9D">
            <w:pPr>
              <w:spacing w:line="240" w:lineRule="auto"/>
            </w:pPr>
          </w:p>
          <w:p w14:paraId="0534B0FB" w14:textId="77D28C83" w:rsidR="00AC6484" w:rsidRDefault="03F61104" w:rsidP="00DD1A9D">
            <w:pPr>
              <w:spacing w:line="240" w:lineRule="auto"/>
            </w:pPr>
            <w:r>
              <w:t>4. Responsibilities</w:t>
            </w:r>
          </w:p>
          <w:p w14:paraId="70802FC0" w14:textId="77777777" w:rsidR="00272414" w:rsidRDefault="00272414" w:rsidP="00DD1A9D">
            <w:pPr>
              <w:spacing w:line="240" w:lineRule="auto"/>
            </w:pPr>
          </w:p>
          <w:p w14:paraId="5FAD7D25" w14:textId="77777777" w:rsidR="00533EDF" w:rsidRDefault="00533EDF" w:rsidP="00DD1A9D">
            <w:pPr>
              <w:spacing w:line="240" w:lineRule="auto"/>
            </w:pPr>
          </w:p>
          <w:p w14:paraId="497681E3" w14:textId="47F05D35" w:rsidR="0083741B" w:rsidRDefault="0083741B" w:rsidP="00576FEF">
            <w:pPr>
              <w:pStyle w:val="ListParagraph"/>
              <w:numPr>
                <w:ilvl w:val="0"/>
                <w:numId w:val="30"/>
              </w:numPr>
              <w:spacing w:line="240" w:lineRule="auto"/>
            </w:pPr>
            <w:r>
              <w:t>Eligib</w:t>
            </w:r>
            <w:r w:rsidR="006E4150">
              <w:t>le</w:t>
            </w:r>
            <w:r>
              <w:t xml:space="preserve"> Students</w:t>
            </w:r>
          </w:p>
          <w:p w14:paraId="5AC2EC5A" w14:textId="77777777" w:rsidR="0083741B" w:rsidRDefault="0083741B" w:rsidP="00DD1A9D">
            <w:pPr>
              <w:spacing w:line="240" w:lineRule="auto"/>
            </w:pPr>
          </w:p>
          <w:p w14:paraId="1C701B6D" w14:textId="77777777" w:rsidR="0083741B" w:rsidRDefault="0083741B" w:rsidP="00DD1A9D">
            <w:pPr>
              <w:spacing w:line="240" w:lineRule="auto"/>
            </w:pPr>
          </w:p>
          <w:p w14:paraId="3656B9AB" w14:textId="71FE5649" w:rsidR="005E4E60" w:rsidRDefault="005E4E60" w:rsidP="00DD1A9D">
            <w:pPr>
              <w:spacing w:line="240" w:lineRule="auto"/>
            </w:pPr>
          </w:p>
        </w:tc>
        <w:tc>
          <w:tcPr>
            <w:tcW w:w="4059" w:type="dxa"/>
          </w:tcPr>
          <w:p w14:paraId="7D504AEF" w14:textId="40F14939" w:rsidR="0083741B" w:rsidRDefault="00AC6484" w:rsidP="00DD1A9D">
            <w:pPr>
              <w:spacing w:line="240" w:lineRule="auto"/>
            </w:pPr>
            <w:r>
              <w:t>Include reference to Student Information Scotland (SIS) portal</w:t>
            </w:r>
            <w:r w:rsidR="0083741B">
              <w:t>.</w:t>
            </w:r>
          </w:p>
          <w:p w14:paraId="5F001DA2" w14:textId="405C31FF" w:rsidR="0083741B" w:rsidRDefault="03F61104" w:rsidP="00DD1A9D">
            <w:pPr>
              <w:spacing w:line="240" w:lineRule="auto"/>
            </w:pPr>
            <w:r>
              <w:t>Amend reference to Fee Policy and removal of option to pay at campus</w:t>
            </w:r>
          </w:p>
          <w:p w14:paraId="22C037C7" w14:textId="77777777" w:rsidR="00533EDF" w:rsidRDefault="00533EDF" w:rsidP="00DD1A9D">
            <w:pPr>
              <w:spacing w:line="240" w:lineRule="auto"/>
            </w:pPr>
          </w:p>
          <w:p w14:paraId="45FB0818" w14:textId="6B34A387" w:rsidR="00AC6484" w:rsidRDefault="006A6634" w:rsidP="00DD1A9D">
            <w:pPr>
              <w:spacing w:line="240" w:lineRule="auto"/>
            </w:pPr>
            <w:r>
              <w:t xml:space="preserve">Flexibility on Credit guidance for short </w:t>
            </w:r>
            <w:r w:rsidR="00BE0D46">
              <w:t>re-</w:t>
            </w:r>
            <w:r>
              <w:t xml:space="preserve">skilling &amp; </w:t>
            </w:r>
            <w:r w:rsidR="00BE0D46">
              <w:t>up</w:t>
            </w:r>
            <w:r>
              <w:t>skilling programmes</w:t>
            </w:r>
          </w:p>
        </w:tc>
      </w:tr>
    </w:tbl>
    <w:p w14:paraId="3CF2D8B6" w14:textId="77777777" w:rsidR="00026A2D" w:rsidRDefault="00026A2D" w:rsidP="00026A2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26A2D" w:rsidRPr="00747B72" w14:paraId="69977487" w14:textId="77777777" w:rsidTr="00026A2D">
        <w:tc>
          <w:tcPr>
            <w:tcW w:w="9242" w:type="dxa"/>
            <w:shd w:val="clear" w:color="auto" w:fill="000000" w:themeFill="text1"/>
          </w:tcPr>
          <w:p w14:paraId="2213403D" w14:textId="77777777" w:rsidR="00026A2D" w:rsidRPr="00883FDE" w:rsidRDefault="00026A2D" w:rsidP="00026A2D">
            <w:pPr>
              <w:rPr>
                <w:color w:val="FFFFFF" w:themeColor="background1"/>
                <w:sz w:val="26"/>
                <w:szCs w:val="26"/>
              </w:rPr>
            </w:pPr>
            <w:r w:rsidRPr="00883FDE">
              <w:rPr>
                <w:color w:val="FFFFFF" w:themeColor="background1"/>
                <w:sz w:val="26"/>
                <w:szCs w:val="26"/>
              </w:rPr>
              <w:t>Policy Statement</w:t>
            </w:r>
          </w:p>
        </w:tc>
      </w:tr>
      <w:tr w:rsidR="00026A2D" w:rsidRPr="00747B72" w14:paraId="5A5B7DD7" w14:textId="77777777" w:rsidTr="00026A2D">
        <w:tc>
          <w:tcPr>
            <w:tcW w:w="9242" w:type="dxa"/>
          </w:tcPr>
          <w:p w14:paraId="0FB78278" w14:textId="77777777" w:rsidR="006F5D49" w:rsidRDefault="006F5D49" w:rsidP="006F5D49">
            <w:pPr>
              <w:jc w:val="both"/>
              <w:rPr>
                <w:rFonts w:ascii="Calibri" w:hAnsi="Calibri" w:cs="Tahoma"/>
              </w:rPr>
            </w:pPr>
          </w:p>
          <w:p w14:paraId="40B4B658" w14:textId="569D3AB5" w:rsidR="00043863" w:rsidRDefault="006F5D49" w:rsidP="006F5D49">
            <w:pPr>
              <w:jc w:val="both"/>
            </w:pPr>
            <w:r>
              <w:rPr>
                <w:rFonts w:ascii="Calibri" w:hAnsi="Calibri" w:cs="Tahoma"/>
              </w:rPr>
              <w:t>West College Scotland</w:t>
            </w:r>
            <w:r w:rsidRPr="00167F69">
              <w:rPr>
                <w:rFonts w:ascii="Calibri" w:hAnsi="Calibri" w:cs="Tahoma"/>
              </w:rPr>
              <w:t xml:space="preserve"> supports the principle of Lifelong Learning.  To assist students who may be financially disadvantaged, the College operates a Fee Waiver Policy</w:t>
            </w:r>
            <w:r>
              <w:rPr>
                <w:rFonts w:ascii="Calibri" w:hAnsi="Calibri" w:cs="Tahoma"/>
              </w:rPr>
              <w:t xml:space="preserve"> in line with the Scottish Funding Council current </w:t>
            </w:r>
            <w:r w:rsidR="005F4260">
              <w:rPr>
                <w:rFonts w:ascii="Calibri" w:hAnsi="Calibri" w:cs="Tahoma"/>
              </w:rPr>
              <w:t xml:space="preserve">fee waiver </w:t>
            </w:r>
            <w:r>
              <w:rPr>
                <w:rFonts w:ascii="Calibri" w:hAnsi="Calibri" w:cs="Tahoma"/>
              </w:rPr>
              <w:t>policy guidance (</w:t>
            </w:r>
            <w:r w:rsidRPr="008A1966">
              <w:rPr>
                <w:rFonts w:ascii="Calibri" w:hAnsi="Calibri" w:cs="Tahoma"/>
              </w:rPr>
              <w:t>SFC/GD/</w:t>
            </w:r>
            <w:r w:rsidR="002B207F" w:rsidRPr="008A1966">
              <w:rPr>
                <w:rFonts w:ascii="Calibri" w:hAnsi="Calibri" w:cs="Tahoma"/>
              </w:rPr>
              <w:t>1</w:t>
            </w:r>
            <w:r w:rsidR="008A1966">
              <w:rPr>
                <w:rFonts w:ascii="Calibri" w:hAnsi="Calibri" w:cs="Tahoma"/>
              </w:rPr>
              <w:t>2</w:t>
            </w:r>
            <w:r w:rsidRPr="008A1966">
              <w:rPr>
                <w:rFonts w:ascii="Calibri" w:hAnsi="Calibri" w:cs="Tahoma"/>
              </w:rPr>
              <w:t>/20</w:t>
            </w:r>
            <w:r w:rsidR="00067C05" w:rsidRPr="008A1966">
              <w:rPr>
                <w:rFonts w:ascii="Calibri" w:hAnsi="Calibri" w:cs="Tahoma"/>
              </w:rPr>
              <w:t>2</w:t>
            </w:r>
            <w:r w:rsidR="008A1966">
              <w:rPr>
                <w:rFonts w:ascii="Calibri" w:hAnsi="Calibri" w:cs="Tahoma"/>
              </w:rPr>
              <w:t>2)</w:t>
            </w:r>
            <w:r w:rsidR="005F4260">
              <w:rPr>
                <w:rFonts w:ascii="Calibri" w:hAnsi="Calibri" w:cs="Tahoma"/>
              </w:rPr>
              <w:t xml:space="preserve"> </w:t>
            </w:r>
            <w:r w:rsidRPr="00167F69">
              <w:rPr>
                <w:rFonts w:ascii="Calibri" w:hAnsi="Calibri" w:cs="Tahoma"/>
              </w:rPr>
              <w:t>which allows certain categories of student to have their fees waived. Each course of study must be fundable</w:t>
            </w:r>
            <w:r>
              <w:rPr>
                <w:rFonts w:ascii="Calibri" w:hAnsi="Calibri" w:cs="Tahoma"/>
              </w:rPr>
              <w:t xml:space="preserve"> and attract credits</w:t>
            </w:r>
            <w:r w:rsidRPr="00167F69">
              <w:rPr>
                <w:rFonts w:ascii="Calibri" w:hAnsi="Calibri" w:cs="Tahoma"/>
              </w:rPr>
              <w:t>.</w:t>
            </w:r>
          </w:p>
          <w:p w14:paraId="1FC39945" w14:textId="77777777" w:rsidR="00026A2D" w:rsidRPr="00747B72" w:rsidRDefault="00026A2D" w:rsidP="003D5B67"/>
        </w:tc>
      </w:tr>
      <w:tr w:rsidR="00026A2D" w:rsidRPr="00747B72" w14:paraId="4179EDF6" w14:textId="77777777" w:rsidTr="00026A2D">
        <w:tc>
          <w:tcPr>
            <w:tcW w:w="9242" w:type="dxa"/>
            <w:shd w:val="clear" w:color="auto" w:fill="000000" w:themeFill="text1"/>
          </w:tcPr>
          <w:p w14:paraId="21FA221C" w14:textId="77777777" w:rsidR="00026A2D" w:rsidRPr="00883FDE" w:rsidRDefault="00026A2D" w:rsidP="00026A2D">
            <w:pPr>
              <w:rPr>
                <w:color w:val="FFFFFF" w:themeColor="background1"/>
                <w:sz w:val="26"/>
                <w:szCs w:val="26"/>
              </w:rPr>
            </w:pPr>
            <w:r w:rsidRPr="00883FDE">
              <w:rPr>
                <w:color w:val="FFFFFF" w:themeColor="background1"/>
                <w:sz w:val="26"/>
                <w:szCs w:val="26"/>
              </w:rPr>
              <w:t>Equality Statement</w:t>
            </w:r>
          </w:p>
        </w:tc>
      </w:tr>
      <w:tr w:rsidR="00026A2D" w:rsidRPr="004B37BB" w14:paraId="4B1551BB" w14:textId="77777777" w:rsidTr="00026A2D">
        <w:tc>
          <w:tcPr>
            <w:tcW w:w="9242" w:type="dxa"/>
          </w:tcPr>
          <w:p w14:paraId="0562CB0E" w14:textId="77777777" w:rsidR="00026A2D" w:rsidRDefault="00026A2D" w:rsidP="00026A2D"/>
          <w:p w14:paraId="71293BC6" w14:textId="77777777" w:rsidR="00026A2D" w:rsidRDefault="00026A2D" w:rsidP="00026A2D">
            <w:r w:rsidRPr="00747B72">
              <w:t xml:space="preserve">The College is committed to providing equal opportunities to ensure its students, staff, </w:t>
            </w:r>
            <w:proofErr w:type="gramStart"/>
            <w:r w:rsidRPr="00747B72">
              <w:t>customers</w:t>
            </w:r>
            <w:proofErr w:type="gramEnd"/>
            <w:r w:rsidRPr="00747B72">
              <w:t xml:space="preserve"> and visitors are treated equally regardless of gender reassignment, race, religion or belief; disability; age; marriage and civil partnerships; pregnancy and maternity; sexual orientation; sex.</w:t>
            </w:r>
          </w:p>
          <w:p w14:paraId="34CE0A41" w14:textId="77777777" w:rsidR="00026A2D" w:rsidRDefault="00026A2D" w:rsidP="00026A2D"/>
          <w:p w14:paraId="5EE043CD" w14:textId="77777777" w:rsidR="00026A2D" w:rsidRPr="004B37BB" w:rsidRDefault="00026A2D" w:rsidP="00DD1A9D">
            <w:r w:rsidRPr="006B007F">
              <w:t xml:space="preserve">Please note this document is available in other formats, to request another format please email </w:t>
            </w:r>
            <w:hyperlink r:id="rId12" w:history="1">
              <w:r w:rsidR="00DD1A9D" w:rsidRPr="00EC4E31">
                <w:rPr>
                  <w:rStyle w:val="Hyperlink"/>
                </w:rPr>
                <w:t>info@wcs.ac.uk</w:t>
              </w:r>
            </w:hyperlink>
          </w:p>
        </w:tc>
      </w:tr>
    </w:tbl>
    <w:p w14:paraId="62EBF3C5" w14:textId="77777777" w:rsidR="006F5D49" w:rsidRDefault="006F5D49" w:rsidP="00DF51B1">
      <w:pPr>
        <w:rPr>
          <w:b/>
          <w:sz w:val="26"/>
          <w:szCs w:val="26"/>
        </w:rPr>
        <w:sectPr w:rsidR="006F5D49" w:rsidSect="00526B47">
          <w:footerReference w:type="first" r:id="rId13"/>
          <w:pgSz w:w="11906" w:h="16838"/>
          <w:pgMar w:top="1440" w:right="1440" w:bottom="1440" w:left="1440" w:header="709" w:footer="709" w:gutter="0"/>
          <w:cols w:space="708"/>
          <w:titlePg/>
          <w:docGrid w:linePitch="360"/>
        </w:sectPr>
      </w:pPr>
    </w:p>
    <w:sdt>
      <w:sdtPr>
        <w:rPr>
          <w:bCs w:val="0"/>
          <w:iCs w:val="0"/>
          <w:sz w:val="24"/>
          <w:szCs w:val="22"/>
          <w:lang w:val="en-GB"/>
        </w:rPr>
        <w:id w:val="246926359"/>
        <w:docPartObj>
          <w:docPartGallery w:val="Table of Contents"/>
          <w:docPartUnique/>
        </w:docPartObj>
      </w:sdtPr>
      <w:sdtEndPr>
        <w:rPr>
          <w:b/>
          <w:noProof/>
        </w:rPr>
      </w:sdtEndPr>
      <w:sdtContent>
        <w:p w14:paraId="48BE0233" w14:textId="0F388BE6" w:rsidR="004C215E" w:rsidRDefault="004C215E">
          <w:pPr>
            <w:pStyle w:val="TOCHeading"/>
            <w:rPr>
              <w:rFonts w:cstheme="minorHAnsi"/>
              <w:b/>
              <w:bCs w:val="0"/>
              <w:sz w:val="24"/>
              <w:szCs w:val="24"/>
            </w:rPr>
          </w:pPr>
          <w:r w:rsidRPr="00D426FC">
            <w:rPr>
              <w:rFonts w:cstheme="minorHAnsi"/>
              <w:b/>
              <w:bCs w:val="0"/>
              <w:sz w:val="24"/>
              <w:szCs w:val="24"/>
            </w:rPr>
            <w:t>Contents</w:t>
          </w:r>
        </w:p>
        <w:p w14:paraId="398E7762" w14:textId="77777777" w:rsidR="00134468" w:rsidRPr="00134468" w:rsidRDefault="00134468" w:rsidP="00134468">
          <w:pPr>
            <w:rPr>
              <w:lang w:val="en-US"/>
            </w:rPr>
          </w:pPr>
        </w:p>
        <w:p w14:paraId="0D7E2706" w14:textId="0BB44115" w:rsidR="004C215E" w:rsidRPr="00D426FC" w:rsidRDefault="004C215E">
          <w:pPr>
            <w:pStyle w:val="TOC1"/>
            <w:tabs>
              <w:tab w:val="left" w:pos="480"/>
            </w:tabs>
            <w:rPr>
              <w:rFonts w:eastAsiaTheme="minorEastAsia" w:cstheme="minorHAnsi"/>
              <w:b w:val="0"/>
              <w:bCs w:val="0"/>
              <w:iCs w:val="0"/>
              <w:noProof/>
              <w:sz w:val="24"/>
              <w:szCs w:val="24"/>
              <w:lang w:eastAsia="en-GB"/>
            </w:rPr>
          </w:pPr>
          <w:r w:rsidRPr="00D426FC">
            <w:rPr>
              <w:rFonts w:cstheme="minorHAnsi"/>
              <w:sz w:val="24"/>
              <w:szCs w:val="24"/>
            </w:rPr>
            <w:fldChar w:fldCharType="begin"/>
          </w:r>
          <w:r w:rsidRPr="00D426FC">
            <w:rPr>
              <w:rFonts w:cstheme="minorHAnsi"/>
              <w:sz w:val="24"/>
              <w:szCs w:val="24"/>
            </w:rPr>
            <w:instrText xml:space="preserve"> TOC \o "1-3" \h \z \u </w:instrText>
          </w:r>
          <w:r w:rsidRPr="00D426FC">
            <w:rPr>
              <w:rFonts w:cstheme="minorHAnsi"/>
              <w:sz w:val="24"/>
              <w:szCs w:val="24"/>
            </w:rPr>
            <w:fldChar w:fldCharType="separate"/>
          </w:r>
          <w:hyperlink w:anchor="_Toc80101328" w:history="1">
            <w:r w:rsidRPr="00D426FC">
              <w:rPr>
                <w:rStyle w:val="Hyperlink"/>
                <w:rFonts w:cstheme="minorHAnsi"/>
                <w:b w:val="0"/>
                <w:bCs w:val="0"/>
                <w:noProof/>
                <w:sz w:val="24"/>
                <w:szCs w:val="24"/>
              </w:rPr>
              <w:t>1.</w:t>
            </w:r>
            <w:r w:rsidRPr="00D426FC">
              <w:rPr>
                <w:rFonts w:eastAsiaTheme="minorEastAsia" w:cstheme="minorHAnsi"/>
                <w:b w:val="0"/>
                <w:bCs w:val="0"/>
                <w:iCs w:val="0"/>
                <w:noProof/>
                <w:sz w:val="24"/>
                <w:szCs w:val="24"/>
                <w:lang w:eastAsia="en-GB"/>
              </w:rPr>
              <w:tab/>
            </w:r>
            <w:r w:rsidRPr="00D426FC">
              <w:rPr>
                <w:rStyle w:val="Hyperlink"/>
                <w:rFonts w:cstheme="minorHAnsi"/>
                <w:b w:val="0"/>
                <w:bCs w:val="0"/>
                <w:noProof/>
                <w:sz w:val="24"/>
                <w:szCs w:val="24"/>
              </w:rPr>
              <w:t>Eligible Students</w:t>
            </w:r>
            <w:r w:rsidRPr="00D426FC">
              <w:rPr>
                <w:rFonts w:cstheme="minorHAnsi"/>
                <w:b w:val="0"/>
                <w:bCs w:val="0"/>
                <w:noProof/>
                <w:webHidden/>
                <w:sz w:val="24"/>
                <w:szCs w:val="24"/>
              </w:rPr>
              <w:tab/>
            </w:r>
            <w:r w:rsidRPr="00D426FC">
              <w:rPr>
                <w:rFonts w:cstheme="minorHAnsi"/>
                <w:b w:val="0"/>
                <w:bCs w:val="0"/>
                <w:noProof/>
                <w:webHidden/>
                <w:sz w:val="24"/>
                <w:szCs w:val="24"/>
              </w:rPr>
              <w:fldChar w:fldCharType="begin"/>
            </w:r>
            <w:r w:rsidRPr="00D426FC">
              <w:rPr>
                <w:rFonts w:cstheme="minorHAnsi"/>
                <w:b w:val="0"/>
                <w:bCs w:val="0"/>
                <w:noProof/>
                <w:webHidden/>
                <w:sz w:val="24"/>
                <w:szCs w:val="24"/>
              </w:rPr>
              <w:instrText xml:space="preserve"> PAGEREF _Toc80101328 \h </w:instrText>
            </w:r>
            <w:r w:rsidRPr="00D426FC">
              <w:rPr>
                <w:rFonts w:cstheme="minorHAnsi"/>
                <w:b w:val="0"/>
                <w:bCs w:val="0"/>
                <w:noProof/>
                <w:webHidden/>
                <w:sz w:val="24"/>
                <w:szCs w:val="24"/>
              </w:rPr>
            </w:r>
            <w:r w:rsidRPr="00D426FC">
              <w:rPr>
                <w:rFonts w:cstheme="minorHAnsi"/>
                <w:b w:val="0"/>
                <w:bCs w:val="0"/>
                <w:noProof/>
                <w:webHidden/>
                <w:sz w:val="24"/>
                <w:szCs w:val="24"/>
              </w:rPr>
              <w:fldChar w:fldCharType="separate"/>
            </w:r>
            <w:r w:rsidR="00134468">
              <w:rPr>
                <w:rFonts w:cstheme="minorHAnsi"/>
                <w:b w:val="0"/>
                <w:bCs w:val="0"/>
                <w:noProof/>
                <w:webHidden/>
                <w:sz w:val="24"/>
                <w:szCs w:val="24"/>
              </w:rPr>
              <w:t>5</w:t>
            </w:r>
            <w:r w:rsidRPr="00D426FC">
              <w:rPr>
                <w:rFonts w:cstheme="minorHAnsi"/>
                <w:b w:val="0"/>
                <w:bCs w:val="0"/>
                <w:noProof/>
                <w:webHidden/>
                <w:sz w:val="24"/>
                <w:szCs w:val="24"/>
              </w:rPr>
              <w:fldChar w:fldCharType="end"/>
            </w:r>
          </w:hyperlink>
        </w:p>
        <w:p w14:paraId="3BABB97E" w14:textId="64D01674" w:rsidR="004C215E" w:rsidRPr="00D426FC" w:rsidRDefault="00A7134D">
          <w:pPr>
            <w:pStyle w:val="TOC1"/>
            <w:tabs>
              <w:tab w:val="left" w:pos="480"/>
            </w:tabs>
            <w:rPr>
              <w:rFonts w:eastAsiaTheme="minorEastAsia" w:cstheme="minorHAnsi"/>
              <w:b w:val="0"/>
              <w:bCs w:val="0"/>
              <w:iCs w:val="0"/>
              <w:noProof/>
              <w:sz w:val="24"/>
              <w:szCs w:val="24"/>
              <w:lang w:eastAsia="en-GB"/>
            </w:rPr>
          </w:pPr>
          <w:hyperlink w:anchor="_Toc80101329" w:history="1">
            <w:r w:rsidR="004C215E" w:rsidRPr="00D426FC">
              <w:rPr>
                <w:rStyle w:val="Hyperlink"/>
                <w:rFonts w:cstheme="minorHAnsi"/>
                <w:b w:val="0"/>
                <w:bCs w:val="0"/>
                <w:noProof/>
                <w:sz w:val="24"/>
                <w:szCs w:val="24"/>
              </w:rPr>
              <w:t>2.</w:t>
            </w:r>
            <w:r w:rsidR="004C215E" w:rsidRPr="00D426FC">
              <w:rPr>
                <w:rFonts w:eastAsiaTheme="minorEastAsia" w:cstheme="minorHAnsi"/>
                <w:b w:val="0"/>
                <w:bCs w:val="0"/>
                <w:iCs w:val="0"/>
                <w:noProof/>
                <w:sz w:val="24"/>
                <w:szCs w:val="24"/>
                <w:lang w:eastAsia="en-GB"/>
              </w:rPr>
              <w:tab/>
            </w:r>
            <w:r w:rsidR="004C215E" w:rsidRPr="00D426FC">
              <w:rPr>
                <w:rStyle w:val="Hyperlink"/>
                <w:rFonts w:cstheme="minorHAnsi"/>
                <w:b w:val="0"/>
                <w:bCs w:val="0"/>
                <w:noProof/>
                <w:sz w:val="24"/>
                <w:szCs w:val="24"/>
              </w:rPr>
              <w:t>Residency</w:t>
            </w:r>
            <w:r w:rsidR="004C215E" w:rsidRPr="00D426FC">
              <w:rPr>
                <w:rFonts w:cstheme="minorHAnsi"/>
                <w:b w:val="0"/>
                <w:bCs w:val="0"/>
                <w:noProof/>
                <w:webHidden/>
                <w:sz w:val="24"/>
                <w:szCs w:val="24"/>
              </w:rPr>
              <w:tab/>
            </w:r>
            <w:r w:rsidR="004C215E" w:rsidRPr="00D426FC">
              <w:rPr>
                <w:rFonts w:cstheme="minorHAnsi"/>
                <w:b w:val="0"/>
                <w:bCs w:val="0"/>
                <w:noProof/>
                <w:webHidden/>
                <w:sz w:val="24"/>
                <w:szCs w:val="24"/>
              </w:rPr>
              <w:fldChar w:fldCharType="begin"/>
            </w:r>
            <w:r w:rsidR="004C215E" w:rsidRPr="00D426FC">
              <w:rPr>
                <w:rFonts w:cstheme="minorHAnsi"/>
                <w:b w:val="0"/>
                <w:bCs w:val="0"/>
                <w:noProof/>
                <w:webHidden/>
                <w:sz w:val="24"/>
                <w:szCs w:val="24"/>
              </w:rPr>
              <w:instrText xml:space="preserve"> PAGEREF _Toc80101329 \h </w:instrText>
            </w:r>
            <w:r w:rsidR="004C215E" w:rsidRPr="00D426FC">
              <w:rPr>
                <w:rFonts w:cstheme="minorHAnsi"/>
                <w:b w:val="0"/>
                <w:bCs w:val="0"/>
                <w:noProof/>
                <w:webHidden/>
                <w:sz w:val="24"/>
                <w:szCs w:val="24"/>
              </w:rPr>
            </w:r>
            <w:r w:rsidR="004C215E" w:rsidRPr="00D426FC">
              <w:rPr>
                <w:rFonts w:cstheme="minorHAnsi"/>
                <w:b w:val="0"/>
                <w:bCs w:val="0"/>
                <w:noProof/>
                <w:webHidden/>
                <w:sz w:val="24"/>
                <w:szCs w:val="24"/>
              </w:rPr>
              <w:fldChar w:fldCharType="separate"/>
            </w:r>
            <w:r w:rsidR="00134468">
              <w:rPr>
                <w:rFonts w:cstheme="minorHAnsi"/>
                <w:b w:val="0"/>
                <w:bCs w:val="0"/>
                <w:noProof/>
                <w:webHidden/>
                <w:sz w:val="24"/>
                <w:szCs w:val="24"/>
              </w:rPr>
              <w:t>7</w:t>
            </w:r>
            <w:r w:rsidR="004C215E" w:rsidRPr="00D426FC">
              <w:rPr>
                <w:rFonts w:cstheme="minorHAnsi"/>
                <w:b w:val="0"/>
                <w:bCs w:val="0"/>
                <w:noProof/>
                <w:webHidden/>
                <w:sz w:val="24"/>
                <w:szCs w:val="24"/>
              </w:rPr>
              <w:fldChar w:fldCharType="end"/>
            </w:r>
          </w:hyperlink>
        </w:p>
        <w:p w14:paraId="45F7E5F9" w14:textId="54F3D9C7" w:rsidR="004C215E" w:rsidRPr="00D426FC" w:rsidRDefault="00A7134D">
          <w:pPr>
            <w:pStyle w:val="TOC1"/>
            <w:tabs>
              <w:tab w:val="left" w:pos="480"/>
            </w:tabs>
            <w:rPr>
              <w:rFonts w:eastAsiaTheme="minorEastAsia" w:cstheme="minorHAnsi"/>
              <w:b w:val="0"/>
              <w:bCs w:val="0"/>
              <w:iCs w:val="0"/>
              <w:noProof/>
              <w:sz w:val="24"/>
              <w:szCs w:val="24"/>
              <w:lang w:eastAsia="en-GB"/>
            </w:rPr>
          </w:pPr>
          <w:hyperlink w:anchor="_Toc80101330" w:history="1">
            <w:r w:rsidR="004C215E" w:rsidRPr="00D426FC">
              <w:rPr>
                <w:rStyle w:val="Hyperlink"/>
                <w:rFonts w:cstheme="minorHAnsi"/>
                <w:b w:val="0"/>
                <w:bCs w:val="0"/>
                <w:noProof/>
                <w:sz w:val="24"/>
                <w:szCs w:val="24"/>
              </w:rPr>
              <w:t>3.</w:t>
            </w:r>
            <w:r w:rsidR="004C215E" w:rsidRPr="00D426FC">
              <w:rPr>
                <w:rFonts w:eastAsiaTheme="minorEastAsia" w:cstheme="minorHAnsi"/>
                <w:b w:val="0"/>
                <w:bCs w:val="0"/>
                <w:iCs w:val="0"/>
                <w:noProof/>
                <w:sz w:val="24"/>
                <w:szCs w:val="24"/>
                <w:lang w:eastAsia="en-GB"/>
              </w:rPr>
              <w:tab/>
            </w:r>
            <w:r w:rsidR="004C215E" w:rsidRPr="00D426FC">
              <w:rPr>
                <w:rStyle w:val="Hyperlink"/>
                <w:rFonts w:cstheme="minorHAnsi"/>
                <w:b w:val="0"/>
                <w:bCs w:val="0"/>
                <w:noProof/>
                <w:sz w:val="24"/>
                <w:szCs w:val="24"/>
              </w:rPr>
              <w:t>Other Conditions</w:t>
            </w:r>
            <w:r w:rsidR="004C215E" w:rsidRPr="00D426FC">
              <w:rPr>
                <w:rFonts w:cstheme="minorHAnsi"/>
                <w:b w:val="0"/>
                <w:bCs w:val="0"/>
                <w:noProof/>
                <w:webHidden/>
                <w:sz w:val="24"/>
                <w:szCs w:val="24"/>
              </w:rPr>
              <w:tab/>
            </w:r>
            <w:r w:rsidR="004C215E" w:rsidRPr="00D426FC">
              <w:rPr>
                <w:rFonts w:cstheme="minorHAnsi"/>
                <w:b w:val="0"/>
                <w:bCs w:val="0"/>
                <w:noProof/>
                <w:webHidden/>
                <w:sz w:val="24"/>
                <w:szCs w:val="24"/>
              </w:rPr>
              <w:fldChar w:fldCharType="begin"/>
            </w:r>
            <w:r w:rsidR="004C215E" w:rsidRPr="00D426FC">
              <w:rPr>
                <w:rFonts w:cstheme="minorHAnsi"/>
                <w:b w:val="0"/>
                <w:bCs w:val="0"/>
                <w:noProof/>
                <w:webHidden/>
                <w:sz w:val="24"/>
                <w:szCs w:val="24"/>
              </w:rPr>
              <w:instrText xml:space="preserve"> PAGEREF _Toc80101330 \h </w:instrText>
            </w:r>
            <w:r w:rsidR="004C215E" w:rsidRPr="00D426FC">
              <w:rPr>
                <w:rFonts w:cstheme="minorHAnsi"/>
                <w:b w:val="0"/>
                <w:bCs w:val="0"/>
                <w:noProof/>
                <w:webHidden/>
                <w:sz w:val="24"/>
                <w:szCs w:val="24"/>
              </w:rPr>
            </w:r>
            <w:r w:rsidR="004C215E" w:rsidRPr="00D426FC">
              <w:rPr>
                <w:rFonts w:cstheme="minorHAnsi"/>
                <w:b w:val="0"/>
                <w:bCs w:val="0"/>
                <w:noProof/>
                <w:webHidden/>
                <w:sz w:val="24"/>
                <w:szCs w:val="24"/>
              </w:rPr>
              <w:fldChar w:fldCharType="separate"/>
            </w:r>
            <w:r w:rsidR="00134468">
              <w:rPr>
                <w:rFonts w:cstheme="minorHAnsi"/>
                <w:b w:val="0"/>
                <w:bCs w:val="0"/>
                <w:noProof/>
                <w:webHidden/>
                <w:sz w:val="24"/>
                <w:szCs w:val="24"/>
              </w:rPr>
              <w:t>8</w:t>
            </w:r>
            <w:r w:rsidR="004C215E" w:rsidRPr="00D426FC">
              <w:rPr>
                <w:rFonts w:cstheme="minorHAnsi"/>
                <w:b w:val="0"/>
                <w:bCs w:val="0"/>
                <w:noProof/>
                <w:webHidden/>
                <w:sz w:val="24"/>
                <w:szCs w:val="24"/>
              </w:rPr>
              <w:fldChar w:fldCharType="end"/>
            </w:r>
          </w:hyperlink>
        </w:p>
        <w:p w14:paraId="523E5B12" w14:textId="515844AD" w:rsidR="004C215E" w:rsidRPr="00D426FC" w:rsidRDefault="00A7134D">
          <w:pPr>
            <w:pStyle w:val="TOC1"/>
            <w:tabs>
              <w:tab w:val="left" w:pos="480"/>
            </w:tabs>
            <w:rPr>
              <w:rFonts w:eastAsiaTheme="minorEastAsia" w:cstheme="minorHAnsi"/>
              <w:b w:val="0"/>
              <w:bCs w:val="0"/>
              <w:iCs w:val="0"/>
              <w:noProof/>
              <w:sz w:val="24"/>
              <w:szCs w:val="24"/>
              <w:lang w:eastAsia="en-GB"/>
            </w:rPr>
          </w:pPr>
          <w:hyperlink w:anchor="_Toc80101331" w:history="1">
            <w:r w:rsidR="004C215E" w:rsidRPr="00D426FC">
              <w:rPr>
                <w:rStyle w:val="Hyperlink"/>
                <w:rFonts w:cstheme="minorHAnsi"/>
                <w:b w:val="0"/>
                <w:bCs w:val="0"/>
                <w:noProof/>
                <w:sz w:val="24"/>
                <w:szCs w:val="24"/>
              </w:rPr>
              <w:t>4.</w:t>
            </w:r>
            <w:r w:rsidR="004C215E" w:rsidRPr="00D426FC">
              <w:rPr>
                <w:rFonts w:eastAsiaTheme="minorEastAsia" w:cstheme="minorHAnsi"/>
                <w:b w:val="0"/>
                <w:bCs w:val="0"/>
                <w:iCs w:val="0"/>
                <w:noProof/>
                <w:sz w:val="24"/>
                <w:szCs w:val="24"/>
                <w:lang w:eastAsia="en-GB"/>
              </w:rPr>
              <w:tab/>
            </w:r>
            <w:r w:rsidR="004C215E" w:rsidRPr="00D426FC">
              <w:rPr>
                <w:rStyle w:val="Hyperlink"/>
                <w:rFonts w:cstheme="minorHAnsi"/>
                <w:b w:val="0"/>
                <w:bCs w:val="0"/>
                <w:noProof/>
                <w:sz w:val="24"/>
                <w:szCs w:val="24"/>
              </w:rPr>
              <w:t>Responsibilities and Assessment</w:t>
            </w:r>
            <w:r w:rsidR="004C215E" w:rsidRPr="00D426FC">
              <w:rPr>
                <w:rFonts w:cstheme="minorHAnsi"/>
                <w:b w:val="0"/>
                <w:bCs w:val="0"/>
                <w:noProof/>
                <w:webHidden/>
                <w:sz w:val="24"/>
                <w:szCs w:val="24"/>
              </w:rPr>
              <w:tab/>
            </w:r>
            <w:r w:rsidR="004C215E" w:rsidRPr="00D426FC">
              <w:rPr>
                <w:rFonts w:cstheme="minorHAnsi"/>
                <w:b w:val="0"/>
                <w:bCs w:val="0"/>
                <w:noProof/>
                <w:webHidden/>
                <w:sz w:val="24"/>
                <w:szCs w:val="24"/>
              </w:rPr>
              <w:fldChar w:fldCharType="begin"/>
            </w:r>
            <w:r w:rsidR="004C215E" w:rsidRPr="00D426FC">
              <w:rPr>
                <w:rFonts w:cstheme="minorHAnsi"/>
                <w:b w:val="0"/>
                <w:bCs w:val="0"/>
                <w:noProof/>
                <w:webHidden/>
                <w:sz w:val="24"/>
                <w:szCs w:val="24"/>
              </w:rPr>
              <w:instrText xml:space="preserve"> PAGEREF _Toc80101331 \h </w:instrText>
            </w:r>
            <w:r w:rsidR="004C215E" w:rsidRPr="00D426FC">
              <w:rPr>
                <w:rFonts w:cstheme="minorHAnsi"/>
                <w:b w:val="0"/>
                <w:bCs w:val="0"/>
                <w:noProof/>
                <w:webHidden/>
                <w:sz w:val="24"/>
                <w:szCs w:val="24"/>
              </w:rPr>
            </w:r>
            <w:r w:rsidR="004C215E" w:rsidRPr="00D426FC">
              <w:rPr>
                <w:rFonts w:cstheme="minorHAnsi"/>
                <w:b w:val="0"/>
                <w:bCs w:val="0"/>
                <w:noProof/>
                <w:webHidden/>
                <w:sz w:val="24"/>
                <w:szCs w:val="24"/>
              </w:rPr>
              <w:fldChar w:fldCharType="separate"/>
            </w:r>
            <w:r w:rsidR="00134468">
              <w:rPr>
                <w:rFonts w:cstheme="minorHAnsi"/>
                <w:b w:val="0"/>
                <w:bCs w:val="0"/>
                <w:noProof/>
                <w:webHidden/>
                <w:sz w:val="24"/>
                <w:szCs w:val="24"/>
              </w:rPr>
              <w:t>9</w:t>
            </w:r>
            <w:r w:rsidR="004C215E" w:rsidRPr="00D426FC">
              <w:rPr>
                <w:rFonts w:cstheme="minorHAnsi"/>
                <w:b w:val="0"/>
                <w:bCs w:val="0"/>
                <w:noProof/>
                <w:webHidden/>
                <w:sz w:val="24"/>
                <w:szCs w:val="24"/>
              </w:rPr>
              <w:fldChar w:fldCharType="end"/>
            </w:r>
          </w:hyperlink>
        </w:p>
        <w:p w14:paraId="3D38A4AB" w14:textId="3E9DE85E" w:rsidR="004C215E" w:rsidRPr="00D426FC" w:rsidRDefault="00A7134D">
          <w:pPr>
            <w:pStyle w:val="TOC1"/>
            <w:rPr>
              <w:rFonts w:eastAsiaTheme="minorEastAsia" w:cstheme="minorHAnsi"/>
              <w:b w:val="0"/>
              <w:bCs w:val="0"/>
              <w:iCs w:val="0"/>
              <w:noProof/>
              <w:sz w:val="24"/>
              <w:szCs w:val="24"/>
              <w:lang w:eastAsia="en-GB"/>
            </w:rPr>
          </w:pPr>
          <w:hyperlink w:anchor="_Toc80101332" w:history="1">
            <w:r w:rsidR="004C215E" w:rsidRPr="00D426FC">
              <w:rPr>
                <w:rStyle w:val="Hyperlink"/>
                <w:rFonts w:cstheme="minorHAnsi"/>
                <w:b w:val="0"/>
                <w:bCs w:val="0"/>
                <w:noProof/>
                <w:sz w:val="24"/>
                <w:szCs w:val="24"/>
              </w:rPr>
              <w:t>APPENDIX A – Eligibility for fee waiver</w:t>
            </w:r>
            <w:r w:rsidR="004C215E" w:rsidRPr="00D426FC">
              <w:rPr>
                <w:rFonts w:cstheme="minorHAnsi"/>
                <w:b w:val="0"/>
                <w:bCs w:val="0"/>
                <w:noProof/>
                <w:webHidden/>
                <w:sz w:val="24"/>
                <w:szCs w:val="24"/>
              </w:rPr>
              <w:tab/>
            </w:r>
            <w:r w:rsidR="004C215E" w:rsidRPr="00D426FC">
              <w:rPr>
                <w:rFonts w:cstheme="minorHAnsi"/>
                <w:b w:val="0"/>
                <w:bCs w:val="0"/>
                <w:noProof/>
                <w:webHidden/>
                <w:sz w:val="24"/>
                <w:szCs w:val="24"/>
              </w:rPr>
              <w:fldChar w:fldCharType="begin"/>
            </w:r>
            <w:r w:rsidR="004C215E" w:rsidRPr="00D426FC">
              <w:rPr>
                <w:rFonts w:cstheme="minorHAnsi"/>
                <w:b w:val="0"/>
                <w:bCs w:val="0"/>
                <w:noProof/>
                <w:webHidden/>
                <w:sz w:val="24"/>
                <w:szCs w:val="24"/>
              </w:rPr>
              <w:instrText xml:space="preserve"> PAGEREF _Toc80101332 \h </w:instrText>
            </w:r>
            <w:r w:rsidR="004C215E" w:rsidRPr="00D426FC">
              <w:rPr>
                <w:rFonts w:cstheme="minorHAnsi"/>
                <w:b w:val="0"/>
                <w:bCs w:val="0"/>
                <w:noProof/>
                <w:webHidden/>
                <w:sz w:val="24"/>
                <w:szCs w:val="24"/>
              </w:rPr>
            </w:r>
            <w:r w:rsidR="004C215E" w:rsidRPr="00D426FC">
              <w:rPr>
                <w:rFonts w:cstheme="minorHAnsi"/>
                <w:b w:val="0"/>
                <w:bCs w:val="0"/>
                <w:noProof/>
                <w:webHidden/>
                <w:sz w:val="24"/>
                <w:szCs w:val="24"/>
              </w:rPr>
              <w:fldChar w:fldCharType="separate"/>
            </w:r>
            <w:r w:rsidR="00134468">
              <w:rPr>
                <w:rFonts w:cstheme="minorHAnsi"/>
                <w:b w:val="0"/>
                <w:bCs w:val="0"/>
                <w:noProof/>
                <w:webHidden/>
                <w:sz w:val="24"/>
                <w:szCs w:val="24"/>
              </w:rPr>
              <w:t>10</w:t>
            </w:r>
            <w:r w:rsidR="004C215E" w:rsidRPr="00D426FC">
              <w:rPr>
                <w:rFonts w:cstheme="minorHAnsi"/>
                <w:b w:val="0"/>
                <w:bCs w:val="0"/>
                <w:noProof/>
                <w:webHidden/>
                <w:sz w:val="24"/>
                <w:szCs w:val="24"/>
              </w:rPr>
              <w:fldChar w:fldCharType="end"/>
            </w:r>
          </w:hyperlink>
        </w:p>
        <w:p w14:paraId="3C6735BF" w14:textId="3626F2AC" w:rsidR="004C215E" w:rsidRDefault="004C215E">
          <w:r w:rsidRPr="00D426FC">
            <w:rPr>
              <w:rFonts w:cstheme="minorHAnsi"/>
              <w:b/>
              <w:bCs/>
              <w:noProof/>
              <w:szCs w:val="24"/>
            </w:rPr>
            <w:fldChar w:fldCharType="end"/>
          </w:r>
        </w:p>
      </w:sdtContent>
    </w:sdt>
    <w:p w14:paraId="294C7C0F" w14:textId="19061A22" w:rsidR="00A6591B" w:rsidRDefault="005A75D9" w:rsidP="004C215E">
      <w:pPr>
        <w:pStyle w:val="TOC2"/>
        <w:tabs>
          <w:tab w:val="right" w:leader="underscore" w:pos="9016"/>
        </w:tabs>
        <w:ind w:left="0"/>
        <w:rPr>
          <w:rStyle w:val="Hyperlink"/>
          <w:noProof/>
        </w:rPr>
      </w:pPr>
      <w:r w:rsidRPr="00DD1A9D">
        <w:rPr>
          <w:sz w:val="28"/>
          <w:szCs w:val="28"/>
        </w:rPr>
        <w:fldChar w:fldCharType="begin"/>
      </w:r>
      <w:r w:rsidR="00C925BB" w:rsidRPr="00DD1A9D">
        <w:instrText xml:space="preserve"> TOC \h \z \t "Policy Heading,1,Sub Heading,2" </w:instrText>
      </w:r>
      <w:r w:rsidRPr="00DD1A9D">
        <w:rPr>
          <w:sz w:val="28"/>
          <w:szCs w:val="28"/>
        </w:rPr>
        <w:fldChar w:fldCharType="separate"/>
      </w:r>
    </w:p>
    <w:p w14:paraId="6184146E" w14:textId="77777777" w:rsidR="00A6591B" w:rsidRDefault="00A6591B">
      <w:pPr>
        <w:spacing w:after="200" w:line="276" w:lineRule="auto"/>
        <w:rPr>
          <w:rStyle w:val="Hyperlink"/>
          <w:b/>
          <w:bCs/>
          <w:iCs/>
          <w:noProof/>
          <w:sz w:val="28"/>
          <w:szCs w:val="28"/>
        </w:rPr>
      </w:pPr>
      <w:r>
        <w:rPr>
          <w:rStyle w:val="Hyperlink"/>
          <w:noProof/>
        </w:rPr>
        <w:br w:type="page"/>
      </w:r>
    </w:p>
    <w:p w14:paraId="6EE2BE9B" w14:textId="764003B8" w:rsidR="008A4055" w:rsidRPr="00A6591B" w:rsidRDefault="005A75D9" w:rsidP="00A6591B">
      <w:pPr>
        <w:pStyle w:val="Heading1"/>
      </w:pPr>
      <w:r w:rsidRPr="00DD1A9D">
        <w:rPr>
          <w:i/>
        </w:rPr>
        <w:lastRenderedPageBreak/>
        <w:fldChar w:fldCharType="end"/>
      </w:r>
      <w:bookmarkStart w:id="0" w:name="_Toc80101328"/>
      <w:bookmarkStart w:id="1" w:name="_Toc412462124"/>
      <w:r w:rsidR="00CF7100" w:rsidRPr="00A6591B">
        <w:t>1.</w:t>
      </w:r>
      <w:r w:rsidR="00CF7100" w:rsidRPr="00A6591B">
        <w:tab/>
      </w:r>
      <w:r w:rsidR="006F5D49" w:rsidRPr="00A6591B">
        <w:t>Eligible Students</w:t>
      </w:r>
      <w:bookmarkEnd w:id="0"/>
    </w:p>
    <w:p w14:paraId="5F4AB65D" w14:textId="0041AF9C" w:rsidR="008F381F" w:rsidRPr="008F381F" w:rsidRDefault="009A47FE" w:rsidP="008F381F">
      <w:pPr>
        <w:pStyle w:val="ListParagraph"/>
        <w:numPr>
          <w:ilvl w:val="1"/>
          <w:numId w:val="18"/>
        </w:numPr>
        <w:spacing w:line="276" w:lineRule="auto"/>
        <w:ind w:left="709" w:hanging="709"/>
        <w:rPr>
          <w:rFonts w:ascii="Calibri" w:hAnsi="Calibri" w:cs="Tahoma"/>
        </w:rPr>
      </w:pPr>
      <w:r w:rsidRPr="008F381F">
        <w:rPr>
          <w:rFonts w:ascii="Calibri" w:hAnsi="Calibri" w:cs="Tahoma"/>
        </w:rPr>
        <w:t>The</w:t>
      </w:r>
      <w:r w:rsidR="008F381F" w:rsidRPr="008F381F">
        <w:rPr>
          <w:rFonts w:ascii="Calibri" w:hAnsi="Calibri" w:cs="Tahoma"/>
        </w:rPr>
        <w:t xml:space="preserve"> </w:t>
      </w:r>
      <w:r w:rsidR="008F381F">
        <w:rPr>
          <w:rFonts w:ascii="Calibri" w:hAnsi="Calibri" w:cs="Tahoma"/>
        </w:rPr>
        <w:t>C</w:t>
      </w:r>
      <w:r w:rsidR="008F381F" w:rsidRPr="008F381F">
        <w:rPr>
          <w:rFonts w:ascii="Calibri" w:hAnsi="Calibri" w:cs="Tahoma"/>
        </w:rPr>
        <w:t>ollege may apply a fee waiver in respect of activity for any of the following types of students:</w:t>
      </w:r>
    </w:p>
    <w:p w14:paraId="4F10710E" w14:textId="77777777" w:rsidR="009A47FE" w:rsidRPr="00167F69" w:rsidRDefault="009A47FE" w:rsidP="00AC6484">
      <w:pPr>
        <w:spacing w:line="276" w:lineRule="auto"/>
        <w:rPr>
          <w:rFonts w:ascii="Calibri" w:hAnsi="Calibri" w:cs="Tahoma"/>
        </w:rPr>
      </w:pPr>
    </w:p>
    <w:p w14:paraId="44CDF416" w14:textId="77777777" w:rsidR="009A47FE" w:rsidRPr="00882DCB" w:rsidRDefault="009A47FE" w:rsidP="00AC6484">
      <w:pPr>
        <w:pStyle w:val="ListParagraph"/>
        <w:numPr>
          <w:ilvl w:val="0"/>
          <w:numId w:val="16"/>
        </w:numPr>
        <w:spacing w:line="276" w:lineRule="auto"/>
        <w:rPr>
          <w:rFonts w:ascii="Calibri" w:hAnsi="Calibri" w:cs="Tahoma"/>
        </w:rPr>
      </w:pPr>
      <w:r>
        <w:rPr>
          <w:rFonts w:ascii="Calibri" w:hAnsi="Calibri" w:cs="Tahoma"/>
        </w:rPr>
        <w:t xml:space="preserve">Further Education (FE) students following a full </w:t>
      </w:r>
      <w:r w:rsidRPr="00882DCB">
        <w:rPr>
          <w:rFonts w:ascii="Calibri" w:hAnsi="Calibri" w:cs="Tahoma"/>
        </w:rPr>
        <w:t>time</w:t>
      </w:r>
      <w:r>
        <w:rPr>
          <w:rFonts w:ascii="Calibri" w:hAnsi="Calibri" w:cs="Tahoma"/>
        </w:rPr>
        <w:t xml:space="preserve"> non-advanced programme for whom SFC credits can be claimed.</w:t>
      </w:r>
    </w:p>
    <w:p w14:paraId="2C19CD34" w14:textId="77777777" w:rsidR="009A47FE" w:rsidRDefault="009A47FE" w:rsidP="00AC6484">
      <w:pPr>
        <w:spacing w:line="276" w:lineRule="auto"/>
        <w:ind w:left="360"/>
        <w:rPr>
          <w:rFonts w:ascii="Calibri" w:hAnsi="Calibri" w:cs="Tahoma"/>
        </w:rPr>
      </w:pPr>
    </w:p>
    <w:p w14:paraId="6024FD92" w14:textId="0AAA1DC4" w:rsidR="00DF22A7" w:rsidRPr="00A57D00" w:rsidRDefault="004019BB" w:rsidP="00A57D00">
      <w:pPr>
        <w:pStyle w:val="ListParagraph"/>
        <w:numPr>
          <w:ilvl w:val="0"/>
          <w:numId w:val="16"/>
        </w:numPr>
        <w:spacing w:line="276" w:lineRule="auto"/>
        <w:rPr>
          <w:rFonts w:ascii="Calibri" w:hAnsi="Calibri" w:cs="Tahoma"/>
        </w:rPr>
      </w:pPr>
      <w:r>
        <w:rPr>
          <w:rFonts w:ascii="Calibri" w:hAnsi="Calibri" w:cs="Tahoma"/>
        </w:rPr>
        <w:t>S</w:t>
      </w:r>
      <w:r w:rsidR="00A57D00" w:rsidRPr="00A57D00">
        <w:rPr>
          <w:rFonts w:ascii="Calibri" w:hAnsi="Calibri" w:cs="Tahoma"/>
        </w:rPr>
        <w:t>tudents on courses which do not meet the current definition of full-time but would have been classified as full-time under the previous definition are eligible for a non-means-tested part-time fee waiver based on the credits for the course.</w:t>
      </w:r>
    </w:p>
    <w:p w14:paraId="0620A6A7" w14:textId="77777777" w:rsidR="00DF22A7" w:rsidRPr="00DF22A7" w:rsidRDefault="00DF22A7" w:rsidP="00DF22A7">
      <w:pPr>
        <w:pStyle w:val="ListParagraph"/>
        <w:rPr>
          <w:rFonts w:ascii="Calibri" w:hAnsi="Calibri" w:cs="Tahoma"/>
        </w:rPr>
      </w:pPr>
    </w:p>
    <w:p w14:paraId="2BB58BED" w14:textId="22D0F2B4" w:rsidR="000C7D73" w:rsidRDefault="003564EB" w:rsidP="00BC4EED">
      <w:pPr>
        <w:pStyle w:val="ListParagraph"/>
        <w:numPr>
          <w:ilvl w:val="0"/>
          <w:numId w:val="16"/>
        </w:numPr>
        <w:spacing w:line="276" w:lineRule="auto"/>
        <w:rPr>
          <w:rFonts w:ascii="Calibri" w:hAnsi="Calibri" w:cs="Tahoma"/>
        </w:rPr>
      </w:pPr>
      <w:r w:rsidRPr="003564EB">
        <w:rPr>
          <w:rFonts w:ascii="Calibri" w:hAnsi="Calibri" w:cs="Tahoma"/>
        </w:rPr>
        <w:t>Students on short-full time courses</w:t>
      </w:r>
      <w:r w:rsidR="00403FCD">
        <w:rPr>
          <w:rFonts w:ascii="Calibri" w:hAnsi="Calibri" w:cs="Tahoma"/>
        </w:rPr>
        <w:t xml:space="preserve"> </w:t>
      </w:r>
      <w:r w:rsidRPr="003564EB">
        <w:rPr>
          <w:rFonts w:ascii="Calibri" w:hAnsi="Calibri" w:cs="Tahoma"/>
        </w:rPr>
        <w:t>may</w:t>
      </w:r>
      <w:r w:rsidR="00403FCD">
        <w:rPr>
          <w:rFonts w:ascii="Calibri" w:hAnsi="Calibri" w:cs="Tahoma"/>
        </w:rPr>
        <w:t>be</w:t>
      </w:r>
      <w:r w:rsidRPr="003564EB">
        <w:rPr>
          <w:rFonts w:ascii="Calibri" w:hAnsi="Calibri" w:cs="Tahoma"/>
        </w:rPr>
        <w:t xml:space="preserve"> allocate</w:t>
      </w:r>
      <w:r w:rsidR="00403FCD">
        <w:rPr>
          <w:rFonts w:ascii="Calibri" w:hAnsi="Calibri" w:cs="Tahoma"/>
        </w:rPr>
        <w:t>d</w:t>
      </w:r>
      <w:r w:rsidRPr="003564EB">
        <w:rPr>
          <w:rFonts w:ascii="Calibri" w:hAnsi="Calibri" w:cs="Tahoma"/>
        </w:rPr>
        <w:t xml:space="preserve"> a fee waiver if the student is assessed as eligible for</w:t>
      </w:r>
      <w:r w:rsidR="002332F7">
        <w:rPr>
          <w:rFonts w:ascii="Calibri" w:hAnsi="Calibri" w:cs="Tahoma"/>
        </w:rPr>
        <w:t xml:space="preserve"> bursary</w:t>
      </w:r>
      <w:r w:rsidRPr="003564EB">
        <w:rPr>
          <w:rFonts w:ascii="Calibri" w:hAnsi="Calibri" w:cs="Tahoma"/>
        </w:rPr>
        <w:t xml:space="preserve"> student support</w:t>
      </w:r>
      <w:r w:rsidR="004F3220">
        <w:rPr>
          <w:rFonts w:ascii="Calibri" w:hAnsi="Calibri" w:cs="Tahoma"/>
        </w:rPr>
        <w:t>.</w:t>
      </w:r>
    </w:p>
    <w:p w14:paraId="0663EB75" w14:textId="77777777" w:rsidR="00BC4EED" w:rsidRPr="008830AE" w:rsidRDefault="00BC4EED" w:rsidP="00B95E35">
      <w:pPr>
        <w:pStyle w:val="ListParagraph"/>
        <w:rPr>
          <w:rFonts w:ascii="Calibri" w:hAnsi="Calibri" w:cs="Tahoma"/>
        </w:rPr>
      </w:pPr>
    </w:p>
    <w:p w14:paraId="44FBAE8B" w14:textId="61739558" w:rsidR="00BC4EED" w:rsidRPr="003A2C36" w:rsidRDefault="00BC4EED" w:rsidP="00BC4EED">
      <w:pPr>
        <w:pStyle w:val="ListParagraph"/>
        <w:numPr>
          <w:ilvl w:val="0"/>
          <w:numId w:val="16"/>
        </w:numPr>
        <w:spacing w:line="276" w:lineRule="auto"/>
        <w:rPr>
          <w:rFonts w:ascii="Calibri" w:hAnsi="Calibri" w:cs="Tahoma"/>
        </w:rPr>
      </w:pPr>
      <w:r w:rsidRPr="003A2C36">
        <w:rPr>
          <w:rFonts w:ascii="Calibri" w:hAnsi="Calibri" w:cs="Tahoma"/>
        </w:rPr>
        <w:t xml:space="preserve">Flexibilities have been introduced to the Credit guidance on claiming credits for short re-skilling and upskilling programmes. </w:t>
      </w:r>
      <w:r w:rsidR="008830AE" w:rsidRPr="003A2C36">
        <w:rPr>
          <w:rFonts w:ascii="Calibri" w:hAnsi="Calibri" w:cs="Tahoma"/>
        </w:rPr>
        <w:t>S</w:t>
      </w:r>
      <w:r w:rsidRPr="003A2C36">
        <w:rPr>
          <w:rFonts w:ascii="Calibri" w:hAnsi="Calibri" w:cs="Tahoma"/>
        </w:rPr>
        <w:t xml:space="preserve">tudents on short-full time courses may </w:t>
      </w:r>
      <w:r w:rsidR="008830AE" w:rsidRPr="003A2C36">
        <w:rPr>
          <w:rFonts w:ascii="Calibri" w:hAnsi="Calibri" w:cs="Tahoma"/>
        </w:rPr>
        <w:t xml:space="preserve">be </w:t>
      </w:r>
      <w:r w:rsidRPr="003A2C36">
        <w:rPr>
          <w:rFonts w:ascii="Calibri" w:hAnsi="Calibri" w:cs="Tahoma"/>
        </w:rPr>
        <w:t>allocate</w:t>
      </w:r>
      <w:r w:rsidR="008830AE" w:rsidRPr="003A2C36">
        <w:rPr>
          <w:rFonts w:ascii="Calibri" w:hAnsi="Calibri" w:cs="Tahoma"/>
        </w:rPr>
        <w:t>d</w:t>
      </w:r>
      <w:r w:rsidRPr="003A2C36">
        <w:rPr>
          <w:rFonts w:ascii="Calibri" w:hAnsi="Calibri" w:cs="Tahoma"/>
        </w:rPr>
        <w:t xml:space="preserve"> a fee waiver.</w:t>
      </w:r>
    </w:p>
    <w:p w14:paraId="2D1039E5" w14:textId="77777777" w:rsidR="003564EB" w:rsidRPr="003564EB" w:rsidRDefault="003564EB" w:rsidP="003564EB">
      <w:pPr>
        <w:pStyle w:val="ListParagraph"/>
        <w:rPr>
          <w:rFonts w:ascii="Calibri" w:hAnsi="Calibri" w:cs="Tahoma"/>
        </w:rPr>
      </w:pPr>
    </w:p>
    <w:p w14:paraId="74E21C3A" w14:textId="47371EEE" w:rsidR="009A47FE" w:rsidRPr="00882DCB" w:rsidRDefault="009A47FE" w:rsidP="00AC6484">
      <w:pPr>
        <w:pStyle w:val="ListParagraph"/>
        <w:numPr>
          <w:ilvl w:val="0"/>
          <w:numId w:val="16"/>
        </w:numPr>
        <w:spacing w:line="276" w:lineRule="auto"/>
        <w:rPr>
          <w:rFonts w:ascii="Calibri" w:hAnsi="Calibri" w:cs="Tahoma"/>
        </w:rPr>
      </w:pPr>
      <w:r w:rsidRPr="5D9F8088">
        <w:rPr>
          <w:rFonts w:ascii="Calibri" w:hAnsi="Calibri" w:cs="Tahoma"/>
        </w:rPr>
        <w:t>FE Students for whom SFC credits can be claimed with learning difficulties or disabilities on courses classified in price group 5.</w:t>
      </w:r>
    </w:p>
    <w:p w14:paraId="2161E332" w14:textId="77777777" w:rsidR="009A47FE" w:rsidRDefault="009A47FE" w:rsidP="00AC6484">
      <w:pPr>
        <w:spacing w:line="276" w:lineRule="auto"/>
        <w:rPr>
          <w:rFonts w:ascii="Calibri" w:hAnsi="Calibri" w:cs="Tahoma"/>
        </w:rPr>
      </w:pPr>
    </w:p>
    <w:p w14:paraId="4355AE09" w14:textId="260C5696" w:rsidR="009A47FE" w:rsidRDefault="009A47FE" w:rsidP="00AC6484">
      <w:pPr>
        <w:pStyle w:val="ListParagraph"/>
        <w:numPr>
          <w:ilvl w:val="0"/>
          <w:numId w:val="16"/>
        </w:numPr>
        <w:spacing w:line="276" w:lineRule="auto"/>
        <w:rPr>
          <w:rFonts w:ascii="Calibri" w:hAnsi="Calibri" w:cs="Tahoma"/>
        </w:rPr>
      </w:pPr>
      <w:r w:rsidRPr="5D9F8088">
        <w:rPr>
          <w:rFonts w:ascii="Calibri" w:hAnsi="Calibri" w:cs="Tahoma"/>
        </w:rPr>
        <w:t xml:space="preserve">Students for whom SFC credits can be claimed and </w:t>
      </w:r>
      <w:r w:rsidR="003C220F" w:rsidRPr="5D9F8088">
        <w:rPr>
          <w:rFonts w:ascii="Calibri" w:hAnsi="Calibri" w:cs="Tahoma"/>
        </w:rPr>
        <w:t xml:space="preserve">who </w:t>
      </w:r>
      <w:r w:rsidRPr="5D9F8088">
        <w:rPr>
          <w:rFonts w:ascii="Calibri" w:hAnsi="Calibri" w:cs="Tahoma"/>
        </w:rPr>
        <w:t>are studying either:</w:t>
      </w:r>
    </w:p>
    <w:p w14:paraId="490263F0" w14:textId="77777777" w:rsidR="009A47FE" w:rsidRDefault="009A47FE" w:rsidP="00AC6484">
      <w:pPr>
        <w:pStyle w:val="ListParagraph"/>
        <w:numPr>
          <w:ilvl w:val="1"/>
          <w:numId w:val="16"/>
        </w:numPr>
        <w:spacing w:line="276" w:lineRule="auto"/>
        <w:rPr>
          <w:rFonts w:ascii="Calibri" w:hAnsi="Calibri" w:cs="Tahoma"/>
        </w:rPr>
      </w:pPr>
      <w:r>
        <w:rPr>
          <w:rFonts w:ascii="Calibri" w:hAnsi="Calibri" w:cs="Tahoma"/>
        </w:rPr>
        <w:t>a part-time FE programme; or</w:t>
      </w:r>
    </w:p>
    <w:p w14:paraId="7BC0D1C4" w14:textId="4031D1D8" w:rsidR="009A47FE" w:rsidRDefault="009A47FE" w:rsidP="00AC6484">
      <w:pPr>
        <w:pStyle w:val="ListParagraph"/>
        <w:numPr>
          <w:ilvl w:val="1"/>
          <w:numId w:val="16"/>
        </w:numPr>
        <w:spacing w:line="276" w:lineRule="auto"/>
        <w:rPr>
          <w:rFonts w:ascii="Calibri" w:hAnsi="Calibri" w:cs="Tahoma"/>
        </w:rPr>
      </w:pPr>
      <w:r>
        <w:rPr>
          <w:rFonts w:ascii="Calibri" w:hAnsi="Calibri" w:cs="Tahoma"/>
        </w:rPr>
        <w:t xml:space="preserve">a part-time HE </w:t>
      </w:r>
      <w:proofErr w:type="gramStart"/>
      <w:r>
        <w:rPr>
          <w:rFonts w:ascii="Calibri" w:hAnsi="Calibri" w:cs="Tahoma"/>
        </w:rPr>
        <w:t>programme</w:t>
      </w:r>
      <w:proofErr w:type="gramEnd"/>
      <w:r>
        <w:rPr>
          <w:rFonts w:ascii="Calibri" w:hAnsi="Calibri" w:cs="Tahoma"/>
        </w:rPr>
        <w:t xml:space="preserve"> equivalent to at least SCQF level 7.</w:t>
      </w:r>
    </w:p>
    <w:p w14:paraId="2F3C3567" w14:textId="77777777" w:rsidR="009A47FE" w:rsidRPr="001B7F51" w:rsidRDefault="009A47FE" w:rsidP="00AC6484">
      <w:pPr>
        <w:pStyle w:val="ListParagraph"/>
        <w:spacing w:line="276" w:lineRule="auto"/>
        <w:rPr>
          <w:rFonts w:ascii="Calibri" w:hAnsi="Calibri" w:cs="Tahoma"/>
        </w:rPr>
      </w:pPr>
    </w:p>
    <w:p w14:paraId="33D98B28" w14:textId="77777777" w:rsidR="009A47FE" w:rsidRDefault="009A47FE" w:rsidP="00AC6484">
      <w:pPr>
        <w:pStyle w:val="ListParagraph"/>
        <w:numPr>
          <w:ilvl w:val="0"/>
          <w:numId w:val="16"/>
        </w:numPr>
        <w:spacing w:line="276" w:lineRule="auto"/>
        <w:rPr>
          <w:rFonts w:ascii="Calibri" w:hAnsi="Calibri" w:cs="Tahoma"/>
        </w:rPr>
      </w:pPr>
      <w:r w:rsidRPr="5D9F8088">
        <w:rPr>
          <w:rFonts w:ascii="Calibri" w:hAnsi="Calibri" w:cs="Tahoma"/>
        </w:rPr>
        <w:t>School pupils undertaking College activity that form part of their school-based curriculum.</w:t>
      </w:r>
    </w:p>
    <w:p w14:paraId="3BBC5619" w14:textId="77777777" w:rsidR="009A47FE" w:rsidRPr="00F816D1" w:rsidRDefault="009A47FE" w:rsidP="00AC6484">
      <w:pPr>
        <w:pStyle w:val="ListParagraph"/>
        <w:spacing w:line="276" w:lineRule="auto"/>
        <w:rPr>
          <w:rFonts w:ascii="Calibri" w:hAnsi="Calibri" w:cs="Tahoma"/>
        </w:rPr>
      </w:pPr>
    </w:p>
    <w:p w14:paraId="433FCB62" w14:textId="4A39D102" w:rsidR="009A47FE" w:rsidRDefault="009A47FE" w:rsidP="00AC6484">
      <w:pPr>
        <w:pStyle w:val="ListParagraph"/>
        <w:numPr>
          <w:ilvl w:val="0"/>
          <w:numId w:val="16"/>
        </w:numPr>
        <w:spacing w:line="276" w:lineRule="auto"/>
        <w:rPr>
          <w:rFonts w:ascii="Calibri" w:hAnsi="Calibri" w:cs="Tahoma"/>
        </w:rPr>
      </w:pPr>
      <w:r w:rsidRPr="5D9F8088">
        <w:rPr>
          <w:rFonts w:ascii="Calibri" w:hAnsi="Calibri" w:cs="Tahoma"/>
        </w:rPr>
        <w:t>Privately or home educated school pupil</w:t>
      </w:r>
      <w:r w:rsidR="00F612FB" w:rsidRPr="5D9F8088">
        <w:rPr>
          <w:rFonts w:ascii="Calibri" w:hAnsi="Calibri" w:cs="Tahoma"/>
        </w:rPr>
        <w:t>s</w:t>
      </w:r>
      <w:r w:rsidR="00287FB1" w:rsidRPr="5D9F8088">
        <w:rPr>
          <w:rFonts w:ascii="Calibri" w:hAnsi="Calibri" w:cs="Tahoma"/>
        </w:rPr>
        <w:t xml:space="preserve"> subject to means testing</w:t>
      </w:r>
      <w:r w:rsidRPr="5D9F8088">
        <w:rPr>
          <w:rFonts w:ascii="Calibri" w:hAnsi="Calibri" w:cs="Tahoma"/>
        </w:rPr>
        <w:t>.</w:t>
      </w:r>
    </w:p>
    <w:p w14:paraId="016A4154" w14:textId="77777777" w:rsidR="009A47FE" w:rsidRPr="00F816D1" w:rsidRDefault="009A47FE" w:rsidP="00AC6484">
      <w:pPr>
        <w:pStyle w:val="ListParagraph"/>
        <w:spacing w:line="276" w:lineRule="auto"/>
        <w:rPr>
          <w:rFonts w:ascii="Calibri" w:hAnsi="Calibri" w:cs="Tahoma"/>
        </w:rPr>
      </w:pPr>
    </w:p>
    <w:p w14:paraId="6458D502" w14:textId="77777777" w:rsidR="009A47FE" w:rsidRDefault="009A47FE" w:rsidP="00AC6484">
      <w:pPr>
        <w:pStyle w:val="ListParagraph"/>
        <w:numPr>
          <w:ilvl w:val="0"/>
          <w:numId w:val="16"/>
        </w:numPr>
        <w:spacing w:line="276" w:lineRule="auto"/>
        <w:rPr>
          <w:rFonts w:ascii="Calibri" w:hAnsi="Calibri" w:cs="Tahoma"/>
        </w:rPr>
      </w:pPr>
      <w:r w:rsidRPr="5D9F8088">
        <w:rPr>
          <w:rFonts w:ascii="Calibri" w:hAnsi="Calibri" w:cs="Tahoma"/>
        </w:rPr>
        <w:t>Other students under the age of 16 completing any above activity out-with their school-based curriculum on a means tested basis.</w:t>
      </w:r>
    </w:p>
    <w:p w14:paraId="3EF08EFC" w14:textId="77777777" w:rsidR="009A47FE" w:rsidRPr="00F816D1" w:rsidRDefault="009A47FE" w:rsidP="00AC6484">
      <w:pPr>
        <w:pStyle w:val="ListParagraph"/>
        <w:spacing w:line="276" w:lineRule="auto"/>
        <w:rPr>
          <w:rFonts w:ascii="Calibri" w:hAnsi="Calibri" w:cs="Tahoma"/>
        </w:rPr>
      </w:pPr>
    </w:p>
    <w:p w14:paraId="5C300B7D" w14:textId="06F363E5" w:rsidR="009A47FE" w:rsidRDefault="0067493A" w:rsidP="0067493A">
      <w:pPr>
        <w:spacing w:line="276" w:lineRule="auto"/>
        <w:ind w:left="709" w:hanging="709"/>
        <w:rPr>
          <w:rFonts w:ascii="Calibri" w:hAnsi="Calibri" w:cs="Tahoma"/>
        </w:rPr>
      </w:pPr>
      <w:r>
        <w:rPr>
          <w:rFonts w:ascii="Calibri" w:hAnsi="Calibri" w:cs="Tahoma"/>
        </w:rPr>
        <w:t>1.2</w:t>
      </w:r>
      <w:r>
        <w:rPr>
          <w:rFonts w:ascii="Calibri" w:hAnsi="Calibri" w:cs="Tahoma"/>
        </w:rPr>
        <w:tab/>
      </w:r>
      <w:r w:rsidR="009A47FE">
        <w:rPr>
          <w:rFonts w:ascii="Calibri" w:hAnsi="Calibri" w:cs="Tahoma"/>
        </w:rPr>
        <w:t>Fees for full-time advanced courses are assessed and paid, if eligible, by SAAS. Fees for these courses are therefore not subject to the College Fee Waiver Policy.</w:t>
      </w:r>
    </w:p>
    <w:p w14:paraId="7889F198" w14:textId="77777777" w:rsidR="00BA13A1" w:rsidRDefault="00BA13A1" w:rsidP="00BA13A1">
      <w:pPr>
        <w:spacing w:line="276" w:lineRule="auto"/>
        <w:rPr>
          <w:rFonts w:ascii="Calibri" w:hAnsi="Calibri" w:cs="Tahoma"/>
        </w:rPr>
      </w:pPr>
    </w:p>
    <w:p w14:paraId="23528703" w14:textId="77777777" w:rsidR="00091A40" w:rsidRDefault="009B4B31" w:rsidP="00A6591B">
      <w:pPr>
        <w:pStyle w:val="SubHeading"/>
      </w:pPr>
      <w:r>
        <w:tab/>
      </w:r>
      <w:bookmarkStart w:id="2" w:name="_Toc80101296"/>
    </w:p>
    <w:p w14:paraId="45A2723C" w14:textId="77777777" w:rsidR="00091A40" w:rsidRDefault="00091A40">
      <w:pPr>
        <w:spacing w:after="200" w:line="276" w:lineRule="auto"/>
        <w:rPr>
          <w:rFonts w:ascii="Calibri" w:hAnsi="Calibri" w:cs="Tahoma"/>
          <w:b/>
          <w:bCs/>
        </w:rPr>
      </w:pPr>
      <w:r>
        <w:br w:type="page"/>
      </w:r>
    </w:p>
    <w:p w14:paraId="347C3E36" w14:textId="301235B0" w:rsidR="009B4B31" w:rsidRPr="00A6591B" w:rsidRDefault="009B4B31" w:rsidP="00A6591B">
      <w:pPr>
        <w:pStyle w:val="SubHeading"/>
      </w:pPr>
      <w:r w:rsidRPr="00A6591B">
        <w:lastRenderedPageBreak/>
        <w:t>Part-Time Students</w:t>
      </w:r>
      <w:bookmarkEnd w:id="2"/>
    </w:p>
    <w:p w14:paraId="34784E18" w14:textId="0C64EC31" w:rsidR="00BA13A1" w:rsidRPr="003A701A" w:rsidRDefault="00BA13A1" w:rsidP="00BA13A1">
      <w:pPr>
        <w:spacing w:line="276" w:lineRule="auto"/>
        <w:rPr>
          <w:rFonts w:ascii="Calibri" w:hAnsi="Calibri" w:cs="Tahoma"/>
        </w:rPr>
      </w:pPr>
      <w:r>
        <w:rPr>
          <w:rFonts w:ascii="Calibri" w:hAnsi="Calibri" w:cs="Tahoma"/>
        </w:rPr>
        <w:t>1.3</w:t>
      </w:r>
      <w:r>
        <w:rPr>
          <w:rFonts w:ascii="Calibri" w:hAnsi="Calibri" w:cs="Tahoma"/>
        </w:rPr>
        <w:tab/>
      </w:r>
      <w:r w:rsidRPr="003A701A">
        <w:rPr>
          <w:rFonts w:ascii="Calibri" w:hAnsi="Calibri" w:cs="Tahoma"/>
        </w:rPr>
        <w:t xml:space="preserve">Part-time students (referred to in paragraph </w:t>
      </w:r>
      <w:r>
        <w:rPr>
          <w:rFonts w:ascii="Calibri" w:hAnsi="Calibri" w:cs="Tahoma"/>
        </w:rPr>
        <w:t xml:space="preserve">1.1(e) </w:t>
      </w:r>
      <w:r w:rsidRPr="003A701A">
        <w:rPr>
          <w:rFonts w:ascii="Calibri" w:hAnsi="Calibri" w:cs="Tahoma"/>
        </w:rPr>
        <w:t xml:space="preserve">above) should satisfy the </w:t>
      </w:r>
    </w:p>
    <w:p w14:paraId="0658C710" w14:textId="77777777" w:rsidR="00BA13A1" w:rsidRPr="003A701A" w:rsidRDefault="00BA13A1" w:rsidP="00BA13A1">
      <w:pPr>
        <w:spacing w:line="276" w:lineRule="auto"/>
        <w:ind w:firstLine="720"/>
        <w:rPr>
          <w:rFonts w:ascii="Calibri" w:hAnsi="Calibri" w:cs="Tahoma"/>
        </w:rPr>
      </w:pPr>
      <w:r w:rsidRPr="003A701A">
        <w:rPr>
          <w:rFonts w:ascii="Calibri" w:hAnsi="Calibri" w:cs="Tahoma"/>
        </w:rPr>
        <w:t xml:space="preserve">criteria below. The benefits and tax credits referred to relate to the UK benefit </w:t>
      </w:r>
    </w:p>
    <w:p w14:paraId="16D96A36" w14:textId="77777777" w:rsidR="00BA13A1" w:rsidRDefault="00BA13A1" w:rsidP="00BA13A1">
      <w:pPr>
        <w:spacing w:line="276" w:lineRule="auto"/>
        <w:ind w:firstLine="720"/>
        <w:rPr>
          <w:rFonts w:ascii="Calibri" w:hAnsi="Calibri" w:cs="Tahoma"/>
        </w:rPr>
      </w:pPr>
      <w:r w:rsidRPr="003A701A">
        <w:rPr>
          <w:rFonts w:ascii="Calibri" w:hAnsi="Calibri" w:cs="Tahoma"/>
        </w:rPr>
        <w:t>and tax credit system only:</w:t>
      </w:r>
    </w:p>
    <w:p w14:paraId="2DCC5257" w14:textId="77777777" w:rsidR="00BA13A1" w:rsidRPr="00CF789F" w:rsidRDefault="00BA13A1" w:rsidP="00BA13A1">
      <w:pPr>
        <w:spacing w:line="276" w:lineRule="auto"/>
        <w:rPr>
          <w:rFonts w:ascii="Calibri" w:hAnsi="Calibri" w:cs="Tahoma"/>
        </w:rPr>
      </w:pPr>
    </w:p>
    <w:p w14:paraId="127F9A57" w14:textId="77777777" w:rsidR="00BA13A1" w:rsidRDefault="00BA13A1" w:rsidP="00BA13A1">
      <w:pPr>
        <w:spacing w:line="276" w:lineRule="auto"/>
        <w:ind w:left="720"/>
        <w:rPr>
          <w:rFonts w:ascii="Calibri" w:hAnsi="Calibri" w:cs="Tahoma"/>
        </w:rPr>
      </w:pPr>
      <w:r>
        <w:rPr>
          <w:rFonts w:ascii="Calibri" w:hAnsi="Calibri" w:cs="Tahoma"/>
        </w:rPr>
        <w:t>a)</w:t>
      </w:r>
      <w:r w:rsidRPr="0048142B">
        <w:rPr>
          <w:rFonts w:ascii="Calibri" w:hAnsi="Calibri" w:cs="Tahoma"/>
        </w:rPr>
        <w:tab/>
        <w:t>The student or student’s family are in receipt of either:</w:t>
      </w:r>
    </w:p>
    <w:p w14:paraId="4450C110"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Income Support</w:t>
      </w:r>
    </w:p>
    <w:p w14:paraId="690B6B43"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Working Tax Credit</w:t>
      </w:r>
    </w:p>
    <w:p w14:paraId="761ECB1E"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Pension</w:t>
      </w:r>
      <w:r>
        <w:rPr>
          <w:rFonts w:ascii="Calibri" w:hAnsi="Calibri" w:cs="Tahoma"/>
        </w:rPr>
        <w:t>s</w:t>
      </w:r>
      <w:r w:rsidRPr="00633EB1">
        <w:rPr>
          <w:rFonts w:ascii="Calibri" w:hAnsi="Calibri" w:cs="Tahoma"/>
        </w:rPr>
        <w:t xml:space="preserve"> Credit</w:t>
      </w:r>
    </w:p>
    <w:p w14:paraId="16633FAD"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 xml:space="preserve">Income based Job Seekers Allowance </w:t>
      </w:r>
    </w:p>
    <w:p w14:paraId="788E9A66"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Income Related Employment &amp; Support Allowance (ESA)</w:t>
      </w:r>
    </w:p>
    <w:p w14:paraId="11C630FF"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Housing Benefit</w:t>
      </w:r>
    </w:p>
    <w:p w14:paraId="7B525683" w14:textId="77777777" w:rsidR="00BA13A1" w:rsidRPr="00633EB1" w:rsidRDefault="00BA13A1" w:rsidP="00BA13A1">
      <w:pPr>
        <w:pStyle w:val="ListParagraph"/>
        <w:numPr>
          <w:ilvl w:val="0"/>
          <w:numId w:val="19"/>
        </w:numPr>
        <w:spacing w:line="276" w:lineRule="auto"/>
        <w:rPr>
          <w:rFonts w:ascii="Calibri" w:hAnsi="Calibri" w:cs="Tahoma"/>
        </w:rPr>
      </w:pPr>
      <w:r w:rsidRPr="00633EB1">
        <w:rPr>
          <w:rFonts w:ascii="Calibri" w:hAnsi="Calibri" w:cs="Tahoma"/>
        </w:rPr>
        <w:t>Universal Credit</w:t>
      </w:r>
    </w:p>
    <w:p w14:paraId="20CDE26B" w14:textId="77777777" w:rsidR="00BA13A1" w:rsidRDefault="00BA13A1" w:rsidP="00BA13A1">
      <w:pPr>
        <w:spacing w:line="276" w:lineRule="auto"/>
        <w:ind w:left="360"/>
        <w:rPr>
          <w:rFonts w:ascii="Calibri" w:hAnsi="Calibri" w:cs="Tahoma"/>
        </w:rPr>
      </w:pPr>
    </w:p>
    <w:p w14:paraId="1573DC0B" w14:textId="77777777" w:rsidR="00BA13A1" w:rsidRDefault="00BA13A1" w:rsidP="00BA13A1">
      <w:pPr>
        <w:spacing w:line="276" w:lineRule="auto"/>
        <w:ind w:left="720"/>
        <w:rPr>
          <w:rFonts w:ascii="Calibri" w:hAnsi="Calibri" w:cs="Tahoma"/>
        </w:rPr>
      </w:pPr>
      <w:r>
        <w:rPr>
          <w:rFonts w:ascii="Calibri" w:hAnsi="Calibri" w:cs="Tahoma"/>
        </w:rPr>
        <w:t>b)</w:t>
      </w:r>
      <w:r>
        <w:rPr>
          <w:rFonts w:ascii="Calibri" w:hAnsi="Calibri" w:cs="Tahoma"/>
        </w:rPr>
        <w:tab/>
        <w:t xml:space="preserve">Or the </w:t>
      </w:r>
      <w:r w:rsidRPr="00167F69">
        <w:rPr>
          <w:rFonts w:ascii="Calibri" w:hAnsi="Calibri" w:cs="Tahoma"/>
        </w:rPr>
        <w:t>student is in receipt of:</w:t>
      </w:r>
      <w:r w:rsidRPr="00167F69">
        <w:rPr>
          <w:rFonts w:ascii="Calibri" w:hAnsi="Calibri" w:cs="Tahoma"/>
        </w:rPr>
        <w:tab/>
      </w:r>
    </w:p>
    <w:p w14:paraId="18CD5C2E" w14:textId="77777777" w:rsidR="00BA13A1" w:rsidRPr="00AB1845" w:rsidRDefault="00BA13A1" w:rsidP="00BA13A1">
      <w:pPr>
        <w:pStyle w:val="ListParagraph"/>
        <w:numPr>
          <w:ilvl w:val="0"/>
          <w:numId w:val="23"/>
        </w:numPr>
        <w:spacing w:line="276" w:lineRule="auto"/>
        <w:rPr>
          <w:rFonts w:ascii="Calibri" w:hAnsi="Calibri" w:cs="Tahoma"/>
        </w:rPr>
      </w:pPr>
      <w:r w:rsidRPr="00AB1845">
        <w:rPr>
          <w:rFonts w:ascii="Calibri" w:hAnsi="Calibri" w:cs="Tahoma"/>
        </w:rPr>
        <w:t>Carer’s Allowance (or carers who have an ‘underlying entitlement’ to Carer’s Allowance but gave up the allowance to e.g., claim their pension), Carer’s Allowance Supplement or the Young Carer’s Grant</w:t>
      </w:r>
    </w:p>
    <w:p w14:paraId="1955FD72" w14:textId="77777777" w:rsidR="00BA13A1" w:rsidRPr="00AB1845" w:rsidRDefault="00BA13A1" w:rsidP="00BA13A1">
      <w:pPr>
        <w:pStyle w:val="ListParagraph"/>
        <w:numPr>
          <w:ilvl w:val="0"/>
          <w:numId w:val="22"/>
        </w:numPr>
        <w:spacing w:line="276" w:lineRule="auto"/>
        <w:rPr>
          <w:rFonts w:ascii="Calibri" w:hAnsi="Calibri" w:cs="Tahoma"/>
        </w:rPr>
      </w:pPr>
      <w:r w:rsidRPr="00AB1845">
        <w:rPr>
          <w:rFonts w:ascii="Calibri" w:hAnsi="Calibri" w:cs="Tahoma"/>
        </w:rPr>
        <w:t xml:space="preserve">Disability Living Allowance </w:t>
      </w:r>
    </w:p>
    <w:p w14:paraId="12E8C2C0" w14:textId="77777777" w:rsidR="00BA13A1" w:rsidRPr="00AB1845" w:rsidRDefault="00BA13A1" w:rsidP="00BA13A1">
      <w:pPr>
        <w:pStyle w:val="ListParagraph"/>
        <w:numPr>
          <w:ilvl w:val="0"/>
          <w:numId w:val="22"/>
        </w:numPr>
        <w:spacing w:line="276" w:lineRule="auto"/>
        <w:rPr>
          <w:rFonts w:ascii="Calibri" w:hAnsi="Calibri" w:cs="Tahoma"/>
        </w:rPr>
      </w:pPr>
      <w:r w:rsidRPr="00AB1845">
        <w:rPr>
          <w:rFonts w:ascii="Calibri" w:hAnsi="Calibri" w:cs="Tahoma"/>
        </w:rPr>
        <w:t xml:space="preserve">Attendance Allowance </w:t>
      </w:r>
    </w:p>
    <w:p w14:paraId="06840C68" w14:textId="77777777" w:rsidR="00BA13A1" w:rsidRPr="00AB1845" w:rsidRDefault="00BA13A1" w:rsidP="00BA13A1">
      <w:pPr>
        <w:pStyle w:val="ListParagraph"/>
        <w:numPr>
          <w:ilvl w:val="0"/>
          <w:numId w:val="22"/>
        </w:numPr>
        <w:spacing w:line="276" w:lineRule="auto"/>
        <w:rPr>
          <w:rFonts w:ascii="Calibri" w:hAnsi="Calibri" w:cs="Tahoma"/>
        </w:rPr>
      </w:pPr>
      <w:r w:rsidRPr="00AB1845">
        <w:rPr>
          <w:rFonts w:ascii="Calibri" w:hAnsi="Calibri" w:cs="Tahoma"/>
        </w:rPr>
        <w:t>Incapacity Benefit</w:t>
      </w:r>
    </w:p>
    <w:p w14:paraId="12DC9E4B" w14:textId="77777777" w:rsidR="00BA13A1" w:rsidRPr="00AB1845" w:rsidRDefault="00BA13A1" w:rsidP="00BA13A1">
      <w:pPr>
        <w:pStyle w:val="ListParagraph"/>
        <w:numPr>
          <w:ilvl w:val="0"/>
          <w:numId w:val="22"/>
        </w:numPr>
        <w:spacing w:line="276" w:lineRule="auto"/>
        <w:rPr>
          <w:rFonts w:ascii="Calibri" w:hAnsi="Calibri" w:cs="Tahoma"/>
        </w:rPr>
      </w:pPr>
      <w:r w:rsidRPr="00AB1845">
        <w:rPr>
          <w:rFonts w:ascii="Calibri" w:hAnsi="Calibri" w:cs="Tahoma"/>
        </w:rPr>
        <w:t>Contributory Employment &amp; Support Allowance (ESA)</w:t>
      </w:r>
    </w:p>
    <w:p w14:paraId="34B152AD" w14:textId="77777777" w:rsidR="00BA13A1" w:rsidRDefault="00BA13A1" w:rsidP="00BA13A1">
      <w:pPr>
        <w:pStyle w:val="ListParagraph"/>
        <w:numPr>
          <w:ilvl w:val="0"/>
          <w:numId w:val="22"/>
        </w:numPr>
        <w:spacing w:line="276" w:lineRule="auto"/>
        <w:rPr>
          <w:rFonts w:ascii="Calibri" w:hAnsi="Calibri" w:cs="Tahoma"/>
        </w:rPr>
      </w:pPr>
      <w:r w:rsidRPr="00AB1845">
        <w:rPr>
          <w:rFonts w:ascii="Calibri" w:hAnsi="Calibri" w:cs="Tahoma"/>
        </w:rPr>
        <w:t>Personal Independence payment</w:t>
      </w:r>
    </w:p>
    <w:p w14:paraId="22E80FF2" w14:textId="77777777" w:rsidR="00C5189A" w:rsidRPr="00AB1845" w:rsidRDefault="00C5189A" w:rsidP="00C5189A">
      <w:pPr>
        <w:pStyle w:val="ListParagraph"/>
        <w:spacing w:line="276" w:lineRule="auto"/>
        <w:ind w:left="1800"/>
        <w:rPr>
          <w:rFonts w:ascii="Calibri" w:hAnsi="Calibri" w:cs="Tahoma"/>
        </w:rPr>
      </w:pPr>
    </w:p>
    <w:p w14:paraId="11BD8FDE" w14:textId="4E2399F6" w:rsidR="00BA13A1" w:rsidRDefault="00BA13A1" w:rsidP="00BA13A1">
      <w:pPr>
        <w:spacing w:line="276" w:lineRule="auto"/>
        <w:ind w:left="1440" w:hanging="720"/>
        <w:rPr>
          <w:rFonts w:ascii="Calibri" w:hAnsi="Calibri" w:cs="Tahoma"/>
        </w:rPr>
      </w:pPr>
      <w:r>
        <w:rPr>
          <w:rFonts w:ascii="Calibri" w:hAnsi="Calibri" w:cs="Tahoma"/>
        </w:rPr>
        <w:t>c)</w:t>
      </w:r>
      <w:r>
        <w:rPr>
          <w:rFonts w:ascii="Calibri" w:hAnsi="Calibri" w:cs="Tahoma"/>
        </w:rPr>
        <w:tab/>
        <w:t>Or t</w:t>
      </w:r>
      <w:r w:rsidRPr="00167F69">
        <w:rPr>
          <w:rFonts w:ascii="Calibri" w:hAnsi="Calibri" w:cs="Tahoma"/>
        </w:rPr>
        <w:t xml:space="preserve">he taxable </w:t>
      </w:r>
      <w:r>
        <w:rPr>
          <w:rFonts w:ascii="Calibri" w:hAnsi="Calibri" w:cs="Tahoma"/>
        </w:rPr>
        <w:t>income</w:t>
      </w:r>
      <w:r w:rsidRPr="00167F69">
        <w:rPr>
          <w:rFonts w:ascii="Calibri" w:hAnsi="Calibri" w:cs="Tahoma"/>
        </w:rPr>
        <w:t xml:space="preserve"> of the student’s family in t</w:t>
      </w:r>
      <w:r>
        <w:rPr>
          <w:rFonts w:ascii="Calibri" w:hAnsi="Calibri" w:cs="Tahoma"/>
        </w:rPr>
        <w:t xml:space="preserve">he previous </w:t>
      </w:r>
      <w:r w:rsidRPr="0085536A">
        <w:rPr>
          <w:rFonts w:ascii="Calibri" w:hAnsi="Calibri" w:cs="Tahoma"/>
        </w:rPr>
        <w:t>financial</w:t>
      </w:r>
      <w:r w:rsidR="0085536A" w:rsidRPr="0085536A">
        <w:rPr>
          <w:rFonts w:ascii="Calibri" w:hAnsi="Calibri" w:cs="Tahoma"/>
        </w:rPr>
        <w:t xml:space="preserve"> tax</w:t>
      </w:r>
      <w:r w:rsidRPr="0085536A">
        <w:rPr>
          <w:rFonts w:ascii="Calibri" w:hAnsi="Calibri" w:cs="Tahoma"/>
        </w:rPr>
        <w:t xml:space="preserve"> year (202</w:t>
      </w:r>
      <w:r w:rsidR="00B95E35" w:rsidRPr="0085536A">
        <w:rPr>
          <w:rFonts w:ascii="Calibri" w:hAnsi="Calibri" w:cs="Tahoma"/>
        </w:rPr>
        <w:t>1</w:t>
      </w:r>
      <w:r w:rsidRPr="0085536A">
        <w:rPr>
          <w:rFonts w:ascii="Calibri" w:hAnsi="Calibri" w:cs="Tahoma"/>
        </w:rPr>
        <w:t>-2</w:t>
      </w:r>
      <w:r w:rsidR="00B95E35" w:rsidRPr="0085536A">
        <w:rPr>
          <w:rFonts w:ascii="Calibri" w:hAnsi="Calibri" w:cs="Tahoma"/>
        </w:rPr>
        <w:t>2</w:t>
      </w:r>
      <w:r w:rsidRPr="0085536A">
        <w:rPr>
          <w:rFonts w:ascii="Calibri" w:hAnsi="Calibri" w:cs="Tahoma"/>
        </w:rPr>
        <w:t>) is equivalent to or lower than the threshold below:</w:t>
      </w:r>
    </w:p>
    <w:p w14:paraId="3044E309" w14:textId="77777777" w:rsidR="00BA13A1" w:rsidRPr="00167F69" w:rsidRDefault="00BA13A1" w:rsidP="00BA13A1">
      <w:pPr>
        <w:spacing w:line="276" w:lineRule="auto"/>
        <w:ind w:left="720" w:hanging="720"/>
        <w:rPr>
          <w:rFonts w:ascii="Calibri" w:hAnsi="Calibri" w:cs="Tahoma"/>
        </w:rPr>
      </w:pPr>
    </w:p>
    <w:p w14:paraId="5DC68A43" w14:textId="77777777" w:rsidR="00BA13A1" w:rsidRPr="00167F69" w:rsidRDefault="00BA13A1" w:rsidP="00BA13A1">
      <w:pPr>
        <w:spacing w:line="276" w:lineRule="auto"/>
        <w:ind w:left="1440"/>
        <w:rPr>
          <w:rFonts w:ascii="Calibri" w:hAnsi="Calibri" w:cs="Tahoma"/>
        </w:rPr>
      </w:pPr>
      <w:r w:rsidRPr="00167F69">
        <w:rPr>
          <w:rFonts w:ascii="Calibri" w:hAnsi="Calibri" w:cs="Tahoma"/>
        </w:rPr>
        <w:t>Households with only one person</w:t>
      </w:r>
      <w:r w:rsidRPr="00167F69">
        <w:rPr>
          <w:rFonts w:ascii="Calibri" w:hAnsi="Calibri" w:cs="Tahoma"/>
        </w:rPr>
        <w:tab/>
      </w:r>
      <w:r w:rsidRPr="00167F69">
        <w:rPr>
          <w:rFonts w:ascii="Calibri" w:hAnsi="Calibri" w:cs="Tahoma"/>
        </w:rPr>
        <w:tab/>
      </w:r>
      <w:r w:rsidRPr="00167F69">
        <w:rPr>
          <w:rFonts w:ascii="Calibri" w:hAnsi="Calibri" w:cs="Tahoma"/>
        </w:rPr>
        <w:tab/>
        <w:t>£ 8</w:t>
      </w:r>
      <w:r>
        <w:rPr>
          <w:rFonts w:ascii="Calibri" w:hAnsi="Calibri" w:cs="Tahoma"/>
        </w:rPr>
        <w:t>,</w:t>
      </w:r>
      <w:r w:rsidRPr="00167F69">
        <w:rPr>
          <w:rFonts w:ascii="Calibri" w:hAnsi="Calibri" w:cs="Tahoma"/>
        </w:rPr>
        <w:t>282</w:t>
      </w:r>
    </w:p>
    <w:p w14:paraId="24B31CCF" w14:textId="77777777" w:rsidR="00BA13A1" w:rsidRPr="00167F69" w:rsidRDefault="00BA13A1" w:rsidP="00BA13A1">
      <w:pPr>
        <w:spacing w:line="276" w:lineRule="auto"/>
        <w:ind w:left="1440" w:hanging="720"/>
        <w:rPr>
          <w:rFonts w:ascii="Calibri" w:hAnsi="Calibri" w:cs="Tahoma"/>
        </w:rPr>
      </w:pPr>
      <w:r w:rsidRPr="00167F69">
        <w:rPr>
          <w:rFonts w:ascii="Calibri" w:hAnsi="Calibri" w:cs="Tahoma"/>
        </w:rPr>
        <w:tab/>
        <w:t>Households of a couple no children</w:t>
      </w:r>
      <w:r w:rsidRPr="00167F69">
        <w:rPr>
          <w:rFonts w:ascii="Calibri" w:hAnsi="Calibri" w:cs="Tahoma"/>
        </w:rPr>
        <w:tab/>
      </w:r>
      <w:r w:rsidRPr="00167F69">
        <w:rPr>
          <w:rFonts w:ascii="Calibri" w:hAnsi="Calibri" w:cs="Tahoma"/>
        </w:rPr>
        <w:tab/>
      </w:r>
      <w:r w:rsidRPr="00167F69">
        <w:rPr>
          <w:rFonts w:ascii="Calibri" w:hAnsi="Calibri" w:cs="Tahoma"/>
        </w:rPr>
        <w:tab/>
        <w:t>£12</w:t>
      </w:r>
      <w:r>
        <w:rPr>
          <w:rFonts w:ascii="Calibri" w:hAnsi="Calibri" w:cs="Tahoma"/>
        </w:rPr>
        <w:t>,</w:t>
      </w:r>
      <w:r w:rsidRPr="00167F69">
        <w:rPr>
          <w:rFonts w:ascii="Calibri" w:hAnsi="Calibri" w:cs="Tahoma"/>
        </w:rPr>
        <w:t>395</w:t>
      </w:r>
    </w:p>
    <w:p w14:paraId="0664FD55" w14:textId="77777777" w:rsidR="00BA13A1" w:rsidRPr="00167F69" w:rsidRDefault="00BA13A1" w:rsidP="00BA13A1">
      <w:pPr>
        <w:spacing w:line="276" w:lineRule="auto"/>
        <w:ind w:left="1440" w:hanging="720"/>
        <w:rPr>
          <w:rFonts w:ascii="Calibri" w:hAnsi="Calibri" w:cs="Tahoma"/>
        </w:rPr>
      </w:pPr>
      <w:r w:rsidRPr="00167F69">
        <w:rPr>
          <w:rFonts w:ascii="Calibri" w:hAnsi="Calibri" w:cs="Tahoma"/>
        </w:rPr>
        <w:tab/>
        <w:t>Households with dependent Children</w:t>
      </w:r>
      <w:r w:rsidRPr="00167F69">
        <w:rPr>
          <w:rFonts w:ascii="Calibri" w:hAnsi="Calibri" w:cs="Tahoma"/>
        </w:rPr>
        <w:tab/>
      </w:r>
      <w:r w:rsidRPr="00167F69">
        <w:rPr>
          <w:rFonts w:ascii="Calibri" w:hAnsi="Calibri" w:cs="Tahoma"/>
        </w:rPr>
        <w:tab/>
        <w:t>£18</w:t>
      </w:r>
      <w:r>
        <w:rPr>
          <w:rFonts w:ascii="Calibri" w:hAnsi="Calibri" w:cs="Tahoma"/>
        </w:rPr>
        <w:t>,</w:t>
      </w:r>
      <w:r w:rsidRPr="00167F69">
        <w:rPr>
          <w:rFonts w:ascii="Calibri" w:hAnsi="Calibri" w:cs="Tahoma"/>
        </w:rPr>
        <w:t>977</w:t>
      </w:r>
    </w:p>
    <w:p w14:paraId="6B5747F8" w14:textId="77777777" w:rsidR="00BA13A1" w:rsidRPr="00167F69" w:rsidRDefault="00BA13A1" w:rsidP="00BA13A1">
      <w:pPr>
        <w:spacing w:line="276" w:lineRule="auto"/>
        <w:ind w:left="1440" w:hanging="720"/>
        <w:rPr>
          <w:rFonts w:ascii="Calibri" w:hAnsi="Calibri" w:cs="Tahoma"/>
        </w:rPr>
      </w:pPr>
    </w:p>
    <w:p w14:paraId="0E70E7BD" w14:textId="77777777" w:rsidR="00BA13A1" w:rsidRPr="0048142B" w:rsidRDefault="00BA13A1" w:rsidP="00BA13A1">
      <w:pPr>
        <w:spacing w:line="276" w:lineRule="auto"/>
        <w:ind w:left="1440"/>
        <w:rPr>
          <w:rFonts w:ascii="Calibri" w:hAnsi="Calibri" w:cs="Tahoma"/>
          <w:bCs/>
        </w:rPr>
      </w:pPr>
      <w:r w:rsidRPr="0048142B">
        <w:rPr>
          <w:rFonts w:ascii="Calibri" w:hAnsi="Calibri" w:cs="Tahoma"/>
          <w:bCs/>
        </w:rPr>
        <w:t>If there has been a material reduction in income from the previous financial tax year the taxable income of the student’s family in the current financial tax year can be assessed</w:t>
      </w:r>
      <w:r w:rsidRPr="0048142B">
        <w:rPr>
          <w:rFonts w:ascii="Calibri" w:hAnsi="Calibri" w:cs="Tahoma"/>
          <w:bCs/>
        </w:rPr>
        <w:tab/>
      </w:r>
    </w:p>
    <w:p w14:paraId="1C76EDD7" w14:textId="77777777" w:rsidR="00BA13A1" w:rsidRPr="00167F69" w:rsidRDefault="00BA13A1" w:rsidP="00BA13A1">
      <w:pPr>
        <w:spacing w:line="276" w:lineRule="auto"/>
        <w:ind w:left="1440" w:hanging="720"/>
        <w:rPr>
          <w:rFonts w:ascii="Calibri" w:hAnsi="Calibri" w:cs="Tahoma"/>
          <w:b/>
          <w:bCs/>
        </w:rPr>
      </w:pPr>
    </w:p>
    <w:p w14:paraId="198F2314" w14:textId="5432C42B" w:rsidR="00BA13A1" w:rsidRDefault="00BA13A1" w:rsidP="00B95E35">
      <w:pPr>
        <w:spacing w:line="276" w:lineRule="auto"/>
        <w:ind w:left="1440" w:hanging="720"/>
        <w:rPr>
          <w:rFonts w:ascii="Calibri" w:hAnsi="Calibri" w:cs="Tahoma"/>
        </w:rPr>
      </w:pPr>
      <w:r>
        <w:rPr>
          <w:rFonts w:ascii="Calibri" w:hAnsi="Calibri" w:cs="Tahoma"/>
        </w:rPr>
        <w:t>d)</w:t>
      </w:r>
      <w:r>
        <w:rPr>
          <w:rFonts w:ascii="Calibri" w:hAnsi="Calibri" w:cs="Tahoma"/>
        </w:rPr>
        <w:tab/>
        <w:t>Or t</w:t>
      </w:r>
      <w:r w:rsidRPr="00167F69">
        <w:rPr>
          <w:rFonts w:ascii="Calibri" w:hAnsi="Calibri" w:cs="Tahoma"/>
        </w:rPr>
        <w:t xml:space="preserve">he student is a person, or the spouse or child of a person who is </w:t>
      </w:r>
      <w:r>
        <w:rPr>
          <w:rFonts w:ascii="Calibri" w:hAnsi="Calibri" w:cs="Tahoma"/>
        </w:rPr>
        <w:t>an</w:t>
      </w:r>
      <w:r w:rsidRPr="00167F69">
        <w:rPr>
          <w:rFonts w:ascii="Calibri" w:hAnsi="Calibri" w:cs="Tahoma"/>
        </w:rPr>
        <w:t xml:space="preserve"> asylum seeker living in Scotland (defined in</w:t>
      </w:r>
      <w:r>
        <w:rPr>
          <w:rFonts w:ascii="Calibri" w:hAnsi="Calibri" w:cs="Tahoma"/>
        </w:rPr>
        <w:t xml:space="preserve"> section 18 of the Nationality,</w:t>
      </w:r>
      <w:r w:rsidRPr="00167F69">
        <w:rPr>
          <w:rFonts w:ascii="Calibri" w:hAnsi="Calibri" w:cs="Tahoma"/>
        </w:rPr>
        <w:t xml:space="preserve"> Immigration &amp; Asylum Act </w:t>
      </w:r>
      <w:r>
        <w:rPr>
          <w:rFonts w:ascii="Calibri" w:hAnsi="Calibri" w:cs="Tahoma"/>
        </w:rPr>
        <w:t>2002</w:t>
      </w:r>
      <w:r w:rsidRPr="00167F69">
        <w:rPr>
          <w:rFonts w:ascii="Calibri" w:hAnsi="Calibri" w:cs="Tahoma"/>
        </w:rPr>
        <w:t>)</w:t>
      </w:r>
      <w:r w:rsidR="006970AE">
        <w:rPr>
          <w:rFonts w:ascii="Calibri" w:hAnsi="Calibri" w:cs="Tahoma"/>
        </w:rPr>
        <w:t>.</w:t>
      </w:r>
    </w:p>
    <w:p w14:paraId="2341852B" w14:textId="77777777" w:rsidR="00BA13A1" w:rsidRDefault="00BA13A1" w:rsidP="00BA13A1">
      <w:pPr>
        <w:spacing w:line="276" w:lineRule="auto"/>
        <w:ind w:left="720"/>
        <w:rPr>
          <w:rFonts w:ascii="Calibri" w:hAnsi="Calibri" w:cs="Tahoma"/>
        </w:rPr>
      </w:pPr>
    </w:p>
    <w:p w14:paraId="5A4661A5" w14:textId="77777777" w:rsidR="00091A40" w:rsidRDefault="00091A40">
      <w:pPr>
        <w:spacing w:after="200" w:line="276" w:lineRule="auto"/>
        <w:rPr>
          <w:rFonts w:ascii="Calibri" w:hAnsi="Calibri" w:cs="Tahoma"/>
        </w:rPr>
      </w:pPr>
      <w:r>
        <w:rPr>
          <w:rFonts w:ascii="Calibri" w:hAnsi="Calibri" w:cs="Tahoma"/>
        </w:rPr>
        <w:br w:type="page"/>
      </w:r>
    </w:p>
    <w:p w14:paraId="239E805D" w14:textId="3FA28EA0" w:rsidR="00BA13A1" w:rsidRDefault="00BA13A1" w:rsidP="00B95E35">
      <w:pPr>
        <w:spacing w:line="276" w:lineRule="auto"/>
        <w:ind w:left="1440" w:hanging="720"/>
        <w:rPr>
          <w:rFonts w:ascii="Calibri" w:hAnsi="Calibri" w:cs="Tahoma"/>
        </w:rPr>
      </w:pPr>
      <w:r>
        <w:rPr>
          <w:rFonts w:ascii="Calibri" w:hAnsi="Calibri" w:cs="Tahoma"/>
        </w:rPr>
        <w:lastRenderedPageBreak/>
        <w:t>e)</w:t>
      </w:r>
      <w:r>
        <w:rPr>
          <w:rFonts w:ascii="Calibri" w:hAnsi="Calibri" w:cs="Tahoma"/>
        </w:rPr>
        <w:tab/>
        <w:t>Or t</w:t>
      </w:r>
      <w:r w:rsidRPr="00167F69">
        <w:rPr>
          <w:rFonts w:ascii="Calibri" w:hAnsi="Calibri" w:cs="Tahoma"/>
        </w:rPr>
        <w:t>he student</w:t>
      </w:r>
      <w:r>
        <w:rPr>
          <w:rFonts w:ascii="Calibri" w:hAnsi="Calibri" w:cs="Tahoma"/>
        </w:rPr>
        <w:t xml:space="preserve"> is under 26 and care experienced. This is defined as looked after and</w:t>
      </w:r>
      <w:r w:rsidRPr="00167F69">
        <w:rPr>
          <w:rFonts w:ascii="Calibri" w:hAnsi="Calibri" w:cs="Tahoma"/>
        </w:rPr>
        <w:t xml:space="preserve"> in the care of a local auth</w:t>
      </w:r>
      <w:r>
        <w:rPr>
          <w:rFonts w:ascii="Calibri" w:hAnsi="Calibri" w:cs="Tahoma"/>
        </w:rPr>
        <w:t xml:space="preserve">ority and can include situations where the student is living in a foster home, </w:t>
      </w:r>
      <w:r w:rsidRPr="00167F69">
        <w:rPr>
          <w:rFonts w:ascii="Calibri" w:hAnsi="Calibri" w:cs="Tahoma"/>
        </w:rPr>
        <w:t xml:space="preserve">children’s home, </w:t>
      </w:r>
      <w:r>
        <w:rPr>
          <w:rFonts w:ascii="Calibri" w:hAnsi="Calibri" w:cs="Tahoma"/>
        </w:rPr>
        <w:t>residential home, in kinship care or in the care of the local authority in their own home.</w:t>
      </w:r>
    </w:p>
    <w:p w14:paraId="561F7A2F" w14:textId="77777777" w:rsidR="009B4B31" w:rsidRDefault="009B4B31" w:rsidP="009B4B31">
      <w:pPr>
        <w:spacing w:line="276" w:lineRule="auto"/>
        <w:ind w:left="720" w:hanging="720"/>
        <w:rPr>
          <w:rFonts w:ascii="Calibri" w:hAnsi="Calibri" w:cs="Tahoma"/>
        </w:rPr>
      </w:pPr>
    </w:p>
    <w:p w14:paraId="5FFC0EC5" w14:textId="1EF02150" w:rsidR="0063681D" w:rsidRPr="0063681D" w:rsidRDefault="0063681D" w:rsidP="0063681D">
      <w:pPr>
        <w:spacing w:line="276" w:lineRule="auto"/>
        <w:ind w:left="720" w:hanging="720"/>
        <w:rPr>
          <w:rFonts w:ascii="Calibri" w:hAnsi="Calibri" w:cs="Tahoma"/>
        </w:rPr>
      </w:pPr>
      <w:r>
        <w:rPr>
          <w:rFonts w:ascii="Calibri" w:hAnsi="Calibri" w:cs="Tahoma"/>
        </w:rPr>
        <w:t>1.4</w:t>
      </w:r>
      <w:r>
        <w:rPr>
          <w:rFonts w:ascii="Calibri" w:hAnsi="Calibri" w:cs="Tahoma"/>
        </w:rPr>
        <w:tab/>
      </w:r>
      <w:r w:rsidRPr="0063681D">
        <w:rPr>
          <w:rFonts w:ascii="Calibri" w:hAnsi="Calibri" w:cs="Tahoma"/>
        </w:rPr>
        <w:t xml:space="preserve">With reference to </w:t>
      </w:r>
      <w:r>
        <w:rPr>
          <w:rFonts w:ascii="Calibri" w:hAnsi="Calibri" w:cs="Tahoma"/>
        </w:rPr>
        <w:t>1.3(</w:t>
      </w:r>
      <w:r w:rsidRPr="0063681D">
        <w:rPr>
          <w:rFonts w:ascii="Calibri" w:hAnsi="Calibri" w:cs="Tahoma"/>
        </w:rPr>
        <w:t xml:space="preserve">d) above, the further criteria to meet eligibility are that: </w:t>
      </w:r>
    </w:p>
    <w:p w14:paraId="2DB1B096" w14:textId="08CBB32D" w:rsidR="0063681D" w:rsidRPr="0063681D" w:rsidRDefault="0063681D" w:rsidP="0063681D">
      <w:pPr>
        <w:pStyle w:val="ListParagraph"/>
        <w:numPr>
          <w:ilvl w:val="0"/>
          <w:numId w:val="23"/>
        </w:numPr>
        <w:spacing w:line="276" w:lineRule="auto"/>
        <w:ind w:left="1134" w:hanging="425"/>
        <w:rPr>
          <w:rFonts w:ascii="Calibri" w:hAnsi="Calibri" w:cs="Tahoma"/>
        </w:rPr>
      </w:pPr>
      <w:r w:rsidRPr="0063681D">
        <w:rPr>
          <w:rFonts w:ascii="Calibri" w:hAnsi="Calibri" w:cs="Tahoma"/>
        </w:rPr>
        <w:t>the student’s asylum application (their own or their family application) must have been made prior to the end of 2006; and</w:t>
      </w:r>
    </w:p>
    <w:p w14:paraId="14D0344D" w14:textId="251ADE65" w:rsidR="0063681D" w:rsidRPr="0063681D" w:rsidRDefault="0063681D" w:rsidP="0063681D">
      <w:pPr>
        <w:pStyle w:val="ListParagraph"/>
        <w:numPr>
          <w:ilvl w:val="0"/>
          <w:numId w:val="23"/>
        </w:numPr>
        <w:spacing w:line="276" w:lineRule="auto"/>
        <w:ind w:left="1134" w:hanging="425"/>
        <w:rPr>
          <w:rFonts w:ascii="Calibri" w:hAnsi="Calibri" w:cs="Tahoma"/>
        </w:rPr>
      </w:pPr>
      <w:r w:rsidRPr="0063681D">
        <w:rPr>
          <w:rFonts w:ascii="Calibri" w:hAnsi="Calibri" w:cs="Tahoma"/>
        </w:rPr>
        <w:t>was under 18 years old on the date when the asylum application was made; and</w:t>
      </w:r>
    </w:p>
    <w:p w14:paraId="12731E3B" w14:textId="18C433CF" w:rsidR="0063681D" w:rsidRPr="0063681D" w:rsidRDefault="0063681D" w:rsidP="0063681D">
      <w:pPr>
        <w:pStyle w:val="ListParagraph"/>
        <w:numPr>
          <w:ilvl w:val="0"/>
          <w:numId w:val="23"/>
        </w:numPr>
        <w:spacing w:line="276" w:lineRule="auto"/>
        <w:ind w:left="1134" w:hanging="425"/>
        <w:rPr>
          <w:rFonts w:ascii="Calibri" w:hAnsi="Calibri" w:cs="Tahoma"/>
        </w:rPr>
      </w:pPr>
      <w:r w:rsidRPr="0063681D">
        <w:rPr>
          <w:rFonts w:ascii="Calibri" w:hAnsi="Calibri" w:cs="Tahoma"/>
        </w:rPr>
        <w:t xml:space="preserve">has been resident in Scotland for a minimum period of 3 years; and </w:t>
      </w:r>
    </w:p>
    <w:p w14:paraId="655B7002" w14:textId="190F456C" w:rsidR="0063681D" w:rsidRPr="0063681D" w:rsidRDefault="0063681D" w:rsidP="0063681D">
      <w:pPr>
        <w:pStyle w:val="ListParagraph"/>
        <w:numPr>
          <w:ilvl w:val="0"/>
          <w:numId w:val="23"/>
        </w:numPr>
        <w:spacing w:line="276" w:lineRule="auto"/>
        <w:ind w:left="1134" w:hanging="425"/>
        <w:rPr>
          <w:rFonts w:ascii="Calibri" w:hAnsi="Calibri" w:cs="Tahoma"/>
        </w:rPr>
      </w:pPr>
      <w:r w:rsidRPr="0063681D">
        <w:rPr>
          <w:rFonts w:ascii="Calibri" w:hAnsi="Calibri" w:cs="Tahoma"/>
        </w:rPr>
        <w:t xml:space="preserve">is under 25 years old on 1 August, 1 January, 1 April, or 1 July closest to the beginning of the first term of the course; and </w:t>
      </w:r>
    </w:p>
    <w:p w14:paraId="0B0EA647" w14:textId="55267066" w:rsidR="0063681D" w:rsidRPr="0063681D" w:rsidRDefault="0063681D" w:rsidP="0063681D">
      <w:pPr>
        <w:pStyle w:val="ListParagraph"/>
        <w:numPr>
          <w:ilvl w:val="0"/>
          <w:numId w:val="23"/>
        </w:numPr>
        <w:spacing w:line="276" w:lineRule="auto"/>
        <w:ind w:left="1134" w:hanging="425"/>
        <w:rPr>
          <w:rFonts w:ascii="Calibri" w:hAnsi="Calibri" w:cs="Tahoma"/>
        </w:rPr>
      </w:pPr>
      <w:r w:rsidRPr="0063681D">
        <w:rPr>
          <w:rFonts w:ascii="Calibri" w:hAnsi="Calibri" w:cs="Tahoma"/>
        </w:rPr>
        <w:t>is resident in Scotland on 1 August, 1 January, 1 April, or 1 July closest to the beginning of the first term of the course</w:t>
      </w:r>
      <w:r w:rsidR="00D550F7">
        <w:rPr>
          <w:rFonts w:ascii="Calibri" w:hAnsi="Calibri" w:cs="Tahoma"/>
        </w:rPr>
        <w:t>.</w:t>
      </w:r>
    </w:p>
    <w:p w14:paraId="43870E5C" w14:textId="77777777" w:rsidR="0063681D" w:rsidRDefault="0063681D" w:rsidP="009B4B31">
      <w:pPr>
        <w:spacing w:line="276" w:lineRule="auto"/>
        <w:ind w:left="720" w:hanging="720"/>
        <w:rPr>
          <w:rFonts w:ascii="Calibri" w:hAnsi="Calibri" w:cs="Tahoma"/>
        </w:rPr>
      </w:pPr>
    </w:p>
    <w:p w14:paraId="3B69E426" w14:textId="26062E00" w:rsidR="00B80F35" w:rsidRPr="009B4B31" w:rsidRDefault="009B4B31" w:rsidP="00A6591B">
      <w:pPr>
        <w:pStyle w:val="SubHeading"/>
        <w:ind w:firstLine="709"/>
      </w:pPr>
      <w:bookmarkStart w:id="3" w:name="_Toc80101297"/>
      <w:r w:rsidRPr="009B4B31">
        <w:t>Students on short full-time courses</w:t>
      </w:r>
      <w:bookmarkEnd w:id="3"/>
    </w:p>
    <w:p w14:paraId="0967D3CC" w14:textId="3625102C" w:rsidR="008C144C" w:rsidRPr="00EF49C4" w:rsidRDefault="009F20CA" w:rsidP="00EF49C4">
      <w:pPr>
        <w:pStyle w:val="ListParagraph"/>
        <w:numPr>
          <w:ilvl w:val="1"/>
          <w:numId w:val="30"/>
        </w:numPr>
        <w:spacing w:line="276" w:lineRule="auto"/>
        <w:rPr>
          <w:rFonts w:ascii="Calibri" w:hAnsi="Calibri" w:cs="Tahoma"/>
        </w:rPr>
      </w:pPr>
      <w:r w:rsidRPr="00EF49C4">
        <w:rPr>
          <w:rFonts w:ascii="Calibri" w:hAnsi="Calibri" w:cs="Tahoma"/>
        </w:rPr>
        <w:t>C</w:t>
      </w:r>
      <w:r w:rsidR="00B80F35" w:rsidRPr="00EF49C4">
        <w:rPr>
          <w:rFonts w:ascii="Calibri" w:hAnsi="Calibri" w:cs="Tahoma"/>
        </w:rPr>
        <w:t>olleges can allocate a fee waiver</w:t>
      </w:r>
      <w:r w:rsidR="00ED3467" w:rsidRPr="00EF49C4">
        <w:rPr>
          <w:rFonts w:ascii="Calibri" w:hAnsi="Calibri" w:cs="Tahoma"/>
        </w:rPr>
        <w:t xml:space="preserve"> and other </w:t>
      </w:r>
      <w:r w:rsidR="0053652E" w:rsidRPr="00EF49C4">
        <w:rPr>
          <w:rFonts w:ascii="Calibri" w:hAnsi="Calibri" w:cs="Tahoma"/>
        </w:rPr>
        <w:t>student support</w:t>
      </w:r>
      <w:r w:rsidR="00B80F35" w:rsidRPr="00EF49C4">
        <w:rPr>
          <w:rFonts w:ascii="Calibri" w:hAnsi="Calibri" w:cs="Tahoma"/>
        </w:rPr>
        <w:t xml:space="preserve"> to students on short full-time courses where the</w:t>
      </w:r>
      <w:r w:rsidRPr="00EF49C4">
        <w:rPr>
          <w:rFonts w:ascii="Calibri" w:hAnsi="Calibri" w:cs="Tahoma"/>
        </w:rPr>
        <w:t xml:space="preserve"> </w:t>
      </w:r>
      <w:r w:rsidR="00B80F35" w:rsidRPr="00EF49C4">
        <w:rPr>
          <w:rFonts w:ascii="Calibri" w:hAnsi="Calibri" w:cs="Tahoma"/>
        </w:rPr>
        <w:t xml:space="preserve">student has been assessed as eligible for bursary support. However, this will not apply to ‘closed’ courses or those being privately funded by employers. </w:t>
      </w:r>
    </w:p>
    <w:p w14:paraId="049A7FCA" w14:textId="77777777" w:rsidR="00EF49C4" w:rsidRPr="00EF49C4" w:rsidRDefault="00EF49C4" w:rsidP="00EF49C4">
      <w:pPr>
        <w:pStyle w:val="ListParagraph"/>
        <w:spacing w:line="276" w:lineRule="auto"/>
        <w:rPr>
          <w:rFonts w:ascii="Calibri" w:hAnsi="Calibri" w:cs="Tahoma"/>
        </w:rPr>
      </w:pPr>
    </w:p>
    <w:p w14:paraId="6725081E" w14:textId="54A64311" w:rsidR="009F20CA" w:rsidRDefault="00C227BF" w:rsidP="008C144C">
      <w:pPr>
        <w:spacing w:line="276" w:lineRule="auto"/>
        <w:ind w:left="720"/>
        <w:rPr>
          <w:rFonts w:ascii="Calibri" w:hAnsi="Calibri" w:cs="Tahoma"/>
        </w:rPr>
      </w:pPr>
      <w:r w:rsidRPr="00EF49C4">
        <w:rPr>
          <w:rFonts w:ascii="Calibri" w:hAnsi="Calibri" w:cs="Tahoma"/>
        </w:rPr>
        <w:t xml:space="preserve">Additional </w:t>
      </w:r>
      <w:r w:rsidR="00533209" w:rsidRPr="00EF49C4">
        <w:rPr>
          <w:rFonts w:ascii="Calibri" w:hAnsi="Calibri" w:cs="Tahoma"/>
        </w:rPr>
        <w:t xml:space="preserve">flexibilities </w:t>
      </w:r>
      <w:r w:rsidR="007D2BB9" w:rsidRPr="00EF49C4">
        <w:rPr>
          <w:rFonts w:ascii="Calibri" w:hAnsi="Calibri" w:cs="Tahoma"/>
        </w:rPr>
        <w:t xml:space="preserve">have also been introduced </w:t>
      </w:r>
      <w:r w:rsidR="00985A36" w:rsidRPr="00EF49C4">
        <w:rPr>
          <w:rFonts w:ascii="Calibri" w:hAnsi="Calibri" w:cs="Tahoma"/>
        </w:rPr>
        <w:t>to SFC’s Credit Guidance on clai</w:t>
      </w:r>
      <w:r w:rsidR="00DA5684" w:rsidRPr="00EF49C4">
        <w:rPr>
          <w:rFonts w:ascii="Calibri" w:hAnsi="Calibri" w:cs="Tahoma"/>
        </w:rPr>
        <w:t>m</w:t>
      </w:r>
      <w:r w:rsidR="00985A36" w:rsidRPr="00EF49C4">
        <w:rPr>
          <w:rFonts w:ascii="Calibri" w:hAnsi="Calibri" w:cs="Tahoma"/>
        </w:rPr>
        <w:t>ing credits for shor</w:t>
      </w:r>
      <w:r w:rsidR="00DA5684" w:rsidRPr="00EF49C4">
        <w:rPr>
          <w:rFonts w:ascii="Calibri" w:hAnsi="Calibri" w:cs="Tahoma"/>
        </w:rPr>
        <w:t>t</w:t>
      </w:r>
      <w:r w:rsidR="00985A36" w:rsidRPr="00EF49C4">
        <w:rPr>
          <w:rFonts w:ascii="Calibri" w:hAnsi="Calibri" w:cs="Tahoma"/>
        </w:rPr>
        <w:t xml:space="preserve"> re-skilling and upskilling program</w:t>
      </w:r>
      <w:r w:rsidR="00DA5684" w:rsidRPr="00EF49C4">
        <w:rPr>
          <w:rFonts w:ascii="Calibri" w:hAnsi="Calibri" w:cs="Tahoma"/>
        </w:rPr>
        <w:t>mes.</w:t>
      </w:r>
    </w:p>
    <w:p w14:paraId="36F210FD" w14:textId="3EB2E10E" w:rsidR="009A47FE" w:rsidRDefault="009A47FE" w:rsidP="009B4B31">
      <w:pPr>
        <w:spacing w:line="276" w:lineRule="auto"/>
        <w:ind w:left="720" w:hanging="720"/>
        <w:rPr>
          <w:rFonts w:ascii="Calibri" w:hAnsi="Calibri" w:cs="Tahoma"/>
        </w:rPr>
      </w:pPr>
    </w:p>
    <w:p w14:paraId="7920C91B" w14:textId="4D7C9C92" w:rsidR="002E46C2" w:rsidRDefault="002E46C2" w:rsidP="00A6591B">
      <w:pPr>
        <w:pStyle w:val="Heading1"/>
        <w:numPr>
          <w:ilvl w:val="0"/>
          <w:numId w:val="18"/>
        </w:numPr>
        <w:ind w:hanging="720"/>
      </w:pPr>
      <w:bookmarkStart w:id="4" w:name="_Toc80101329"/>
      <w:r>
        <w:t>Residency</w:t>
      </w:r>
      <w:bookmarkEnd w:id="4"/>
    </w:p>
    <w:p w14:paraId="4587AF79" w14:textId="63CE713B" w:rsidR="000A373A" w:rsidRDefault="005B2BD8" w:rsidP="00C31E7F">
      <w:pPr>
        <w:pStyle w:val="ListParagraph"/>
        <w:numPr>
          <w:ilvl w:val="1"/>
          <w:numId w:val="18"/>
        </w:numPr>
        <w:spacing w:line="276" w:lineRule="auto"/>
        <w:ind w:left="709" w:hanging="709"/>
        <w:rPr>
          <w:rFonts w:ascii="Calibri" w:hAnsi="Calibri" w:cs="Tahoma"/>
        </w:rPr>
      </w:pPr>
      <w:r w:rsidRPr="00C31E7F">
        <w:rPr>
          <w:rFonts w:ascii="Calibri" w:hAnsi="Calibri" w:cs="Tahoma"/>
        </w:rPr>
        <w:t>The C</w:t>
      </w:r>
      <w:r w:rsidR="000A373A" w:rsidRPr="00C31E7F">
        <w:rPr>
          <w:rFonts w:ascii="Calibri" w:hAnsi="Calibri" w:cs="Tahoma"/>
        </w:rPr>
        <w:t>ollege will be able to apply a fee waiver in respect of the activity of a student, only if they meet the criteria set out in this document and they are</w:t>
      </w:r>
      <w:r w:rsidRPr="00C31E7F">
        <w:rPr>
          <w:rFonts w:ascii="Calibri" w:hAnsi="Calibri" w:cs="Tahoma"/>
        </w:rPr>
        <w:t xml:space="preserve"> </w:t>
      </w:r>
      <w:r w:rsidR="000A373A" w:rsidRPr="00C31E7F">
        <w:rPr>
          <w:rFonts w:ascii="Calibri" w:hAnsi="Calibri" w:cs="Tahoma"/>
        </w:rPr>
        <w:t xml:space="preserve">eligible for support </w:t>
      </w:r>
      <w:r w:rsidR="00EF49C4" w:rsidRPr="00C31E7F">
        <w:rPr>
          <w:rFonts w:ascii="Calibri" w:hAnsi="Calibri" w:cs="Tahoma"/>
        </w:rPr>
        <w:t>based on</w:t>
      </w:r>
      <w:r w:rsidR="000A373A" w:rsidRPr="00C31E7F">
        <w:rPr>
          <w:rFonts w:ascii="Calibri" w:hAnsi="Calibri" w:cs="Tahoma"/>
        </w:rPr>
        <w:t xml:space="preserve"> residence:</w:t>
      </w:r>
    </w:p>
    <w:p w14:paraId="41A28E87" w14:textId="77777777" w:rsidR="00E25239" w:rsidRPr="00C31E7F" w:rsidRDefault="00E25239" w:rsidP="00E25239">
      <w:pPr>
        <w:pStyle w:val="ListParagraph"/>
        <w:spacing w:line="276" w:lineRule="auto"/>
        <w:ind w:left="709"/>
        <w:rPr>
          <w:rFonts w:ascii="Calibri" w:hAnsi="Calibri" w:cs="Tahoma"/>
        </w:rPr>
      </w:pPr>
    </w:p>
    <w:p w14:paraId="5FEA5D4E" w14:textId="44122371" w:rsidR="009B44D9" w:rsidRDefault="000A373A" w:rsidP="00495150">
      <w:pPr>
        <w:pStyle w:val="ListParagraph"/>
        <w:numPr>
          <w:ilvl w:val="0"/>
          <w:numId w:val="28"/>
        </w:numPr>
        <w:spacing w:line="276" w:lineRule="auto"/>
        <w:ind w:left="1080"/>
        <w:rPr>
          <w:rFonts w:ascii="Calibri" w:hAnsi="Calibri" w:cs="Tahoma"/>
        </w:rPr>
      </w:pPr>
      <w:r w:rsidRPr="00F20CED">
        <w:rPr>
          <w:rFonts w:ascii="Calibri" w:hAnsi="Calibri" w:cs="Tahoma"/>
        </w:rPr>
        <w:t xml:space="preserve">That person falls with the definition of eligibility in Schedule 1 of The Education (Access Funds) (Scotland) Determination </w:t>
      </w:r>
      <w:r w:rsidR="0090536B" w:rsidRPr="00F20CED">
        <w:rPr>
          <w:rFonts w:ascii="Calibri" w:hAnsi="Calibri" w:cs="Tahoma"/>
        </w:rPr>
        <w:t>202</w:t>
      </w:r>
      <w:r w:rsidR="0090536B">
        <w:rPr>
          <w:rFonts w:ascii="Calibri" w:hAnsi="Calibri" w:cs="Tahoma"/>
        </w:rPr>
        <w:t>2</w:t>
      </w:r>
      <w:r w:rsidRPr="00F20CED">
        <w:rPr>
          <w:rFonts w:ascii="Calibri" w:hAnsi="Calibri" w:cs="Tahoma"/>
        </w:rPr>
        <w:t>. The current residency regulations</w:t>
      </w:r>
      <w:r w:rsidR="00F20CED">
        <w:rPr>
          <w:rFonts w:ascii="Calibri" w:hAnsi="Calibri" w:cs="Tahoma"/>
        </w:rPr>
        <w:t xml:space="preserve"> </w:t>
      </w:r>
      <w:r w:rsidRPr="00F20CED">
        <w:rPr>
          <w:rFonts w:ascii="Calibri" w:hAnsi="Calibri" w:cs="Tahoma"/>
        </w:rPr>
        <w:t>are on the SFC website</w:t>
      </w:r>
      <w:r w:rsidR="00EF49C4">
        <w:rPr>
          <w:rFonts w:ascii="Calibri" w:hAnsi="Calibri" w:cs="Tahoma"/>
        </w:rPr>
        <w:t>.</w:t>
      </w:r>
      <w:r w:rsidRPr="00F20CED">
        <w:rPr>
          <w:rFonts w:ascii="Calibri" w:hAnsi="Calibri" w:cs="Tahoma"/>
        </w:rPr>
        <w:t xml:space="preserve"> OR</w:t>
      </w:r>
    </w:p>
    <w:p w14:paraId="599D3490" w14:textId="77777777" w:rsidR="00E25239" w:rsidRDefault="00E25239" w:rsidP="00495150">
      <w:pPr>
        <w:pStyle w:val="ListParagraph"/>
        <w:spacing w:line="276" w:lineRule="auto"/>
        <w:ind w:left="0"/>
        <w:rPr>
          <w:rFonts w:ascii="Calibri" w:hAnsi="Calibri" w:cs="Tahoma"/>
        </w:rPr>
      </w:pPr>
    </w:p>
    <w:p w14:paraId="5748A768" w14:textId="77777777" w:rsidR="009B44D9" w:rsidRDefault="000A373A" w:rsidP="00495150">
      <w:pPr>
        <w:pStyle w:val="ListParagraph"/>
        <w:numPr>
          <w:ilvl w:val="0"/>
          <w:numId w:val="28"/>
        </w:numPr>
        <w:spacing w:line="276" w:lineRule="auto"/>
        <w:ind w:left="1080"/>
        <w:rPr>
          <w:rFonts w:ascii="Calibri" w:hAnsi="Calibri" w:cs="Tahoma"/>
        </w:rPr>
      </w:pPr>
      <w:r w:rsidRPr="009B44D9">
        <w:rPr>
          <w:rFonts w:ascii="Calibri" w:hAnsi="Calibri" w:cs="Tahoma"/>
        </w:rPr>
        <w:t>The student is ordinarily resident in Orkney or Shetland on the date of commencement of the course of study and has been ordinarily resident in the British Islands throughout the previous three years and is settled in the UK within the meaning of the Immigration Act 1971 on the relevant date. OR</w:t>
      </w:r>
    </w:p>
    <w:p w14:paraId="03C07106" w14:textId="77777777" w:rsidR="00E25239" w:rsidRPr="00E25239" w:rsidRDefault="00E25239" w:rsidP="00495150">
      <w:pPr>
        <w:pStyle w:val="ListParagraph"/>
        <w:ind w:left="0"/>
        <w:rPr>
          <w:rFonts w:ascii="Calibri" w:hAnsi="Calibri" w:cs="Tahoma"/>
        </w:rPr>
      </w:pPr>
    </w:p>
    <w:p w14:paraId="39072E60" w14:textId="77777777" w:rsidR="009B44D9" w:rsidRDefault="000A373A" w:rsidP="00495150">
      <w:pPr>
        <w:pStyle w:val="ListParagraph"/>
        <w:numPr>
          <w:ilvl w:val="0"/>
          <w:numId w:val="28"/>
        </w:numPr>
        <w:spacing w:line="276" w:lineRule="auto"/>
        <w:ind w:left="1080"/>
        <w:rPr>
          <w:rFonts w:ascii="Calibri" w:hAnsi="Calibri" w:cs="Tahoma"/>
        </w:rPr>
      </w:pPr>
      <w:r w:rsidRPr="009B44D9">
        <w:rPr>
          <w:rFonts w:ascii="Calibri" w:hAnsi="Calibri" w:cs="Tahoma"/>
        </w:rPr>
        <w:t>The student is a person (or the spouse or child of a person) who is an asylum seeker living in Scotland on either a full-time English for Speakers of Other Languages (ESOL) course or a part-time non-advanced or advanced course.</w:t>
      </w:r>
      <w:r w:rsidR="009B44D9">
        <w:rPr>
          <w:rFonts w:ascii="Calibri" w:hAnsi="Calibri" w:cs="Tahoma"/>
        </w:rPr>
        <w:t xml:space="preserve"> </w:t>
      </w:r>
      <w:r w:rsidRPr="009B44D9">
        <w:rPr>
          <w:rFonts w:ascii="Calibri" w:hAnsi="Calibri" w:cs="Tahoma"/>
        </w:rPr>
        <w:t>OR</w:t>
      </w:r>
    </w:p>
    <w:p w14:paraId="623B73E5" w14:textId="43AA8AA5" w:rsidR="00E25239" w:rsidRDefault="000A373A" w:rsidP="00495150">
      <w:pPr>
        <w:pStyle w:val="ListParagraph"/>
        <w:numPr>
          <w:ilvl w:val="0"/>
          <w:numId w:val="28"/>
        </w:numPr>
        <w:spacing w:line="276" w:lineRule="auto"/>
        <w:ind w:left="1080"/>
        <w:rPr>
          <w:rFonts w:ascii="Calibri" w:hAnsi="Calibri" w:cs="Tahoma"/>
        </w:rPr>
      </w:pPr>
      <w:r w:rsidRPr="009B44D9">
        <w:rPr>
          <w:rFonts w:ascii="Calibri" w:hAnsi="Calibri" w:cs="Tahoma"/>
        </w:rPr>
        <w:lastRenderedPageBreak/>
        <w:t xml:space="preserve">The student is a child of an asylum seeker or a young </w:t>
      </w:r>
      <w:proofErr w:type="gramStart"/>
      <w:r w:rsidRPr="009B44D9">
        <w:rPr>
          <w:rFonts w:ascii="Calibri" w:hAnsi="Calibri" w:cs="Tahoma"/>
        </w:rPr>
        <w:t>asylum seeking</w:t>
      </w:r>
      <w:proofErr w:type="gramEnd"/>
      <w:r w:rsidRPr="009B44D9">
        <w:rPr>
          <w:rFonts w:ascii="Calibri" w:hAnsi="Calibri" w:cs="Tahoma"/>
        </w:rPr>
        <w:t xml:space="preserve"> person on a full-time non-advanced course (excludes ESOL) and meets the criteria outlined in paragraph </w:t>
      </w:r>
      <w:r w:rsidR="00D0698D">
        <w:rPr>
          <w:rFonts w:ascii="Calibri" w:hAnsi="Calibri" w:cs="Tahoma"/>
        </w:rPr>
        <w:t>2.2</w:t>
      </w:r>
      <w:r w:rsidR="006A72C6">
        <w:rPr>
          <w:rFonts w:ascii="Calibri" w:hAnsi="Calibri" w:cs="Tahoma"/>
        </w:rPr>
        <w:t xml:space="preserve"> </w:t>
      </w:r>
      <w:r w:rsidRPr="00E25239">
        <w:rPr>
          <w:rFonts w:ascii="Calibri" w:hAnsi="Calibri" w:cs="Tahoma"/>
        </w:rPr>
        <w:t>OR</w:t>
      </w:r>
    </w:p>
    <w:p w14:paraId="1DD9F58E" w14:textId="77777777" w:rsidR="00E25239" w:rsidRPr="00E25239" w:rsidRDefault="00E25239" w:rsidP="00495150">
      <w:pPr>
        <w:pStyle w:val="ListParagraph"/>
        <w:ind w:left="0"/>
        <w:rPr>
          <w:rFonts w:ascii="Calibri" w:hAnsi="Calibri" w:cs="Tahoma"/>
        </w:rPr>
      </w:pPr>
    </w:p>
    <w:p w14:paraId="4E443C72" w14:textId="482E863D" w:rsidR="002E46C2" w:rsidRDefault="000A373A" w:rsidP="00495150">
      <w:pPr>
        <w:pStyle w:val="ListParagraph"/>
        <w:numPr>
          <w:ilvl w:val="0"/>
          <w:numId w:val="28"/>
        </w:numPr>
        <w:spacing w:line="276" w:lineRule="auto"/>
        <w:ind w:left="1080"/>
        <w:rPr>
          <w:rFonts w:ascii="Calibri" w:hAnsi="Calibri" w:cs="Tahoma"/>
        </w:rPr>
      </w:pPr>
      <w:r w:rsidRPr="00E25239">
        <w:rPr>
          <w:rFonts w:ascii="Calibri" w:hAnsi="Calibri" w:cs="Tahoma"/>
        </w:rPr>
        <w:t>The student is a non-asylum seeker living in Scotland on a part-time ESOL</w:t>
      </w:r>
      <w:r w:rsidR="00E25239" w:rsidRPr="00E25239">
        <w:rPr>
          <w:rFonts w:ascii="Calibri" w:hAnsi="Calibri" w:cs="Tahoma"/>
        </w:rPr>
        <w:t xml:space="preserve"> </w:t>
      </w:r>
      <w:r w:rsidRPr="00E25239">
        <w:rPr>
          <w:rFonts w:ascii="Calibri" w:hAnsi="Calibri" w:cs="Tahoma"/>
        </w:rPr>
        <w:t xml:space="preserve">course and the student’s main purposes for being in the European Union (EU) is not to receive education (note that these students are still subject to the requirements as stated in paragraph </w:t>
      </w:r>
      <w:r w:rsidR="006A3232">
        <w:rPr>
          <w:rFonts w:ascii="Calibri" w:hAnsi="Calibri" w:cs="Tahoma"/>
        </w:rPr>
        <w:t>2.2</w:t>
      </w:r>
      <w:r w:rsidRPr="00E25239">
        <w:rPr>
          <w:rFonts w:ascii="Calibri" w:hAnsi="Calibri" w:cs="Tahoma"/>
        </w:rPr>
        <w:t>).</w:t>
      </w:r>
    </w:p>
    <w:p w14:paraId="51C66102" w14:textId="59D54C40" w:rsidR="00D550F7" w:rsidRDefault="00D550F7">
      <w:pPr>
        <w:spacing w:after="200" w:line="276" w:lineRule="auto"/>
        <w:rPr>
          <w:rFonts w:ascii="Calibri" w:hAnsi="Calibri" w:cs="Tahoma"/>
        </w:rPr>
      </w:pPr>
    </w:p>
    <w:p w14:paraId="1B87622A" w14:textId="6F70B46B" w:rsidR="00FC416B" w:rsidRPr="00FC416B" w:rsidRDefault="00FC416B" w:rsidP="00FC416B">
      <w:pPr>
        <w:pStyle w:val="ListParagraph"/>
        <w:numPr>
          <w:ilvl w:val="1"/>
          <w:numId w:val="18"/>
        </w:numPr>
        <w:spacing w:line="276" w:lineRule="auto"/>
        <w:ind w:left="709" w:hanging="709"/>
        <w:rPr>
          <w:rFonts w:ascii="Calibri" w:hAnsi="Calibri" w:cs="Tahoma"/>
        </w:rPr>
      </w:pPr>
      <w:r w:rsidRPr="00FC416B">
        <w:rPr>
          <w:rFonts w:ascii="Calibri" w:hAnsi="Calibri" w:cs="Tahoma"/>
        </w:rPr>
        <w:t xml:space="preserve">If the student does not meet the ‘Long Residence’ requirement, the criteria </w:t>
      </w:r>
    </w:p>
    <w:p w14:paraId="5E3EB14F" w14:textId="2CEDC1E5" w:rsidR="00694600" w:rsidRDefault="00FC416B" w:rsidP="00694600">
      <w:pPr>
        <w:pStyle w:val="ListParagraph"/>
        <w:spacing w:line="276" w:lineRule="auto"/>
        <w:ind w:left="709"/>
        <w:rPr>
          <w:rFonts w:ascii="Calibri" w:hAnsi="Calibri" w:cs="Tahoma"/>
        </w:rPr>
      </w:pPr>
      <w:r w:rsidRPr="00FC416B">
        <w:rPr>
          <w:rFonts w:ascii="Calibri" w:hAnsi="Calibri" w:cs="Tahoma"/>
        </w:rPr>
        <w:t xml:space="preserve">referred to in paragraph </w:t>
      </w:r>
      <w:r w:rsidR="00EB6C85">
        <w:rPr>
          <w:rFonts w:ascii="Calibri" w:hAnsi="Calibri" w:cs="Tahoma"/>
        </w:rPr>
        <w:t>2</w:t>
      </w:r>
      <w:r w:rsidR="000639E8">
        <w:rPr>
          <w:rFonts w:ascii="Calibri" w:hAnsi="Calibri" w:cs="Tahoma"/>
        </w:rPr>
        <w:t>.1</w:t>
      </w:r>
      <w:r w:rsidR="00EB6C85">
        <w:rPr>
          <w:rFonts w:ascii="Calibri" w:hAnsi="Calibri" w:cs="Tahoma"/>
        </w:rPr>
        <w:t xml:space="preserve"> </w:t>
      </w:r>
      <w:r w:rsidR="00CB2C67">
        <w:rPr>
          <w:rFonts w:ascii="Calibri" w:hAnsi="Calibri" w:cs="Tahoma"/>
        </w:rPr>
        <w:t>(</w:t>
      </w:r>
      <w:r w:rsidR="00FD6564">
        <w:rPr>
          <w:rFonts w:ascii="Calibri" w:hAnsi="Calibri" w:cs="Tahoma"/>
        </w:rPr>
        <w:t xml:space="preserve">d) </w:t>
      </w:r>
      <w:r w:rsidRPr="00FC416B">
        <w:rPr>
          <w:rFonts w:ascii="Calibri" w:hAnsi="Calibri" w:cs="Tahoma"/>
        </w:rPr>
        <w:t>are that the student’s asylum application (their own or their family’s application) must have been made prior to the end of 2006, and the student:</w:t>
      </w:r>
    </w:p>
    <w:p w14:paraId="5CEFDD6A" w14:textId="77777777" w:rsidR="00694600" w:rsidRDefault="00694600" w:rsidP="00694600">
      <w:pPr>
        <w:pStyle w:val="ListParagraph"/>
        <w:spacing w:line="276" w:lineRule="auto"/>
        <w:ind w:left="709"/>
        <w:rPr>
          <w:rFonts w:ascii="Calibri" w:hAnsi="Calibri" w:cs="Tahoma"/>
        </w:rPr>
      </w:pPr>
    </w:p>
    <w:p w14:paraId="2C681069" w14:textId="225E03D8" w:rsidR="00D0698D" w:rsidRDefault="00FC416B" w:rsidP="00D0698D">
      <w:pPr>
        <w:pStyle w:val="ListParagraph"/>
        <w:numPr>
          <w:ilvl w:val="0"/>
          <w:numId w:val="26"/>
        </w:numPr>
        <w:spacing w:line="276" w:lineRule="auto"/>
        <w:rPr>
          <w:rFonts w:ascii="Calibri" w:hAnsi="Calibri" w:cs="Tahoma"/>
        </w:rPr>
      </w:pPr>
      <w:r w:rsidRPr="00D0698D">
        <w:rPr>
          <w:rFonts w:ascii="Calibri" w:hAnsi="Calibri" w:cs="Tahoma"/>
        </w:rPr>
        <w:t>Is resident on 1 August, 1 January, 1 April, or 1 July closest to the beginning of the first term of the course</w:t>
      </w:r>
      <w:r w:rsidR="00D0698D">
        <w:rPr>
          <w:rFonts w:ascii="Calibri" w:hAnsi="Calibri" w:cs="Tahoma"/>
        </w:rPr>
        <w:t>.</w:t>
      </w:r>
    </w:p>
    <w:p w14:paraId="4D49C6D7" w14:textId="77777777" w:rsidR="00D0698D" w:rsidRDefault="00FC416B" w:rsidP="00D0698D">
      <w:pPr>
        <w:pStyle w:val="ListParagraph"/>
        <w:numPr>
          <w:ilvl w:val="0"/>
          <w:numId w:val="26"/>
        </w:numPr>
        <w:spacing w:line="276" w:lineRule="auto"/>
        <w:rPr>
          <w:rFonts w:ascii="Calibri" w:hAnsi="Calibri" w:cs="Tahoma"/>
        </w:rPr>
      </w:pPr>
      <w:r w:rsidRPr="00D0698D">
        <w:rPr>
          <w:rFonts w:ascii="Calibri" w:hAnsi="Calibri" w:cs="Tahoma"/>
        </w:rPr>
        <w:t>Has been resident in Scotland for a minimum period of three years.</w:t>
      </w:r>
    </w:p>
    <w:p w14:paraId="1D44FF7E" w14:textId="7E0420BB" w:rsidR="00D0698D" w:rsidRDefault="00FC416B" w:rsidP="00D0698D">
      <w:pPr>
        <w:pStyle w:val="ListParagraph"/>
        <w:numPr>
          <w:ilvl w:val="0"/>
          <w:numId w:val="26"/>
        </w:numPr>
        <w:spacing w:line="276" w:lineRule="auto"/>
        <w:rPr>
          <w:rFonts w:ascii="Calibri" w:hAnsi="Calibri" w:cs="Tahoma"/>
        </w:rPr>
      </w:pPr>
      <w:r w:rsidRPr="00D0698D">
        <w:rPr>
          <w:rFonts w:ascii="Calibri" w:hAnsi="Calibri" w:cs="Tahoma"/>
        </w:rPr>
        <w:t>Was under 18 years old on the date when the application for asylum was made (the application must have been made prior to 1 December 2006</w:t>
      </w:r>
      <w:r w:rsidR="00D0698D">
        <w:rPr>
          <w:rFonts w:ascii="Calibri" w:hAnsi="Calibri" w:cs="Tahoma"/>
        </w:rPr>
        <w:t>)</w:t>
      </w:r>
      <w:r w:rsidR="00CD569E">
        <w:rPr>
          <w:rFonts w:ascii="Calibri" w:hAnsi="Calibri" w:cs="Tahoma"/>
        </w:rPr>
        <w:t>.</w:t>
      </w:r>
    </w:p>
    <w:p w14:paraId="1C6F55D9" w14:textId="23D002B2" w:rsidR="00E25239" w:rsidRDefault="00FC416B" w:rsidP="00D0698D">
      <w:pPr>
        <w:pStyle w:val="ListParagraph"/>
        <w:numPr>
          <w:ilvl w:val="0"/>
          <w:numId w:val="26"/>
        </w:numPr>
        <w:spacing w:line="276" w:lineRule="auto"/>
        <w:rPr>
          <w:rFonts w:ascii="Calibri" w:hAnsi="Calibri" w:cs="Tahoma"/>
        </w:rPr>
      </w:pPr>
      <w:r w:rsidRPr="00D0698D">
        <w:rPr>
          <w:rFonts w:ascii="Calibri" w:hAnsi="Calibri" w:cs="Tahoma"/>
        </w:rPr>
        <w:t xml:space="preserve">Is under 25 years old on 1 August, 1 January, 1 </w:t>
      </w:r>
      <w:proofErr w:type="gramStart"/>
      <w:r w:rsidRPr="00D0698D">
        <w:rPr>
          <w:rFonts w:ascii="Calibri" w:hAnsi="Calibri" w:cs="Tahoma"/>
        </w:rPr>
        <w:t>April</w:t>
      </w:r>
      <w:proofErr w:type="gramEnd"/>
      <w:r w:rsidRPr="00D0698D">
        <w:rPr>
          <w:rFonts w:ascii="Calibri" w:hAnsi="Calibri" w:cs="Tahoma"/>
        </w:rPr>
        <w:t xml:space="preserve"> or 1 July closest to the beginning of the first term of the course</w:t>
      </w:r>
      <w:r w:rsidR="00CD569E">
        <w:rPr>
          <w:rFonts w:ascii="Calibri" w:hAnsi="Calibri" w:cs="Tahoma"/>
        </w:rPr>
        <w:t>.</w:t>
      </w:r>
    </w:p>
    <w:p w14:paraId="6B6A0DAA" w14:textId="77777777" w:rsidR="00CD569E" w:rsidRPr="00D0698D" w:rsidRDefault="00CD569E" w:rsidP="00CD569E">
      <w:pPr>
        <w:pStyle w:val="ListParagraph"/>
        <w:spacing w:line="276" w:lineRule="auto"/>
        <w:ind w:left="1069"/>
        <w:rPr>
          <w:rFonts w:ascii="Calibri" w:hAnsi="Calibri" w:cs="Tahoma"/>
        </w:rPr>
      </w:pPr>
    </w:p>
    <w:p w14:paraId="22651F52" w14:textId="3C91B246" w:rsidR="00E25239" w:rsidRPr="005C2AF0" w:rsidRDefault="00DE1236" w:rsidP="005C2AF0">
      <w:pPr>
        <w:spacing w:line="276" w:lineRule="auto"/>
        <w:ind w:left="709" w:hanging="709"/>
        <w:rPr>
          <w:rFonts w:ascii="Calibri" w:hAnsi="Calibri" w:cs="Tahoma"/>
        </w:rPr>
      </w:pPr>
      <w:r w:rsidRPr="00CD569E">
        <w:rPr>
          <w:rFonts w:ascii="Calibri" w:hAnsi="Calibri" w:cs="Tahoma"/>
        </w:rPr>
        <w:t>2.3</w:t>
      </w:r>
      <w:r w:rsidRPr="00CD569E">
        <w:rPr>
          <w:rFonts w:ascii="Calibri" w:hAnsi="Calibri" w:cs="Tahoma"/>
        </w:rPr>
        <w:tab/>
      </w:r>
      <w:r w:rsidR="00BC4EED" w:rsidRPr="00CD569E">
        <w:rPr>
          <w:rFonts w:ascii="Calibri" w:hAnsi="Calibri" w:cs="Tahoma"/>
        </w:rPr>
        <w:t xml:space="preserve">Further guidance on </w:t>
      </w:r>
      <w:r w:rsidR="00CD569E">
        <w:rPr>
          <w:rFonts w:ascii="Calibri" w:hAnsi="Calibri" w:cs="Tahoma"/>
        </w:rPr>
        <w:t xml:space="preserve">the impacts of </w:t>
      </w:r>
      <w:r w:rsidR="00BC4EED" w:rsidRPr="00CD569E">
        <w:rPr>
          <w:rFonts w:ascii="Calibri" w:hAnsi="Calibri" w:cs="Tahoma"/>
        </w:rPr>
        <w:t>Brexit</w:t>
      </w:r>
      <w:r w:rsidR="00CD569E">
        <w:rPr>
          <w:rFonts w:ascii="Calibri" w:hAnsi="Calibri" w:cs="Tahoma"/>
        </w:rPr>
        <w:t xml:space="preserve">, the </w:t>
      </w:r>
      <w:r w:rsidR="00BC4EED" w:rsidRPr="00CD569E">
        <w:rPr>
          <w:rFonts w:ascii="Calibri" w:hAnsi="Calibri" w:cs="Tahoma"/>
        </w:rPr>
        <w:t xml:space="preserve">Ukrainian conflict and </w:t>
      </w:r>
      <w:r w:rsidR="00CD569E">
        <w:rPr>
          <w:rFonts w:ascii="Calibri" w:hAnsi="Calibri" w:cs="Tahoma"/>
        </w:rPr>
        <w:t xml:space="preserve">changes to </w:t>
      </w:r>
      <w:r w:rsidR="00BC4EED" w:rsidRPr="00CD569E">
        <w:rPr>
          <w:rFonts w:ascii="Calibri" w:hAnsi="Calibri" w:cs="Tahoma"/>
        </w:rPr>
        <w:t xml:space="preserve">FE </w:t>
      </w:r>
      <w:r w:rsidR="00CD569E">
        <w:rPr>
          <w:rFonts w:ascii="Calibri" w:hAnsi="Calibri" w:cs="Tahoma"/>
        </w:rPr>
        <w:t>r</w:t>
      </w:r>
      <w:r w:rsidR="00BC4EED" w:rsidRPr="00CD569E">
        <w:rPr>
          <w:rFonts w:ascii="Calibri" w:hAnsi="Calibri" w:cs="Tahoma"/>
        </w:rPr>
        <w:t xml:space="preserve">esidency </w:t>
      </w:r>
      <w:r w:rsidR="00CD569E">
        <w:rPr>
          <w:rFonts w:ascii="Calibri" w:hAnsi="Calibri" w:cs="Tahoma"/>
        </w:rPr>
        <w:t>are</w:t>
      </w:r>
      <w:r w:rsidR="00BC4EED" w:rsidRPr="00CD569E">
        <w:rPr>
          <w:rFonts w:ascii="Calibri" w:hAnsi="Calibri" w:cs="Tahoma"/>
        </w:rPr>
        <w:t xml:space="preserve"> expected to be </w:t>
      </w:r>
      <w:r w:rsidR="005B05F2">
        <w:rPr>
          <w:rFonts w:ascii="Calibri" w:hAnsi="Calibri" w:cs="Tahoma"/>
        </w:rPr>
        <w:t>made. A revised Policy will be issued if required.</w:t>
      </w:r>
    </w:p>
    <w:p w14:paraId="43C792A2" w14:textId="77777777" w:rsidR="00CA4035" w:rsidRPr="00E25239" w:rsidRDefault="00CA4035" w:rsidP="00E25239">
      <w:pPr>
        <w:pStyle w:val="ListParagraph"/>
        <w:spacing w:line="276" w:lineRule="auto"/>
        <w:ind w:left="993"/>
        <w:rPr>
          <w:rFonts w:ascii="Calibri" w:hAnsi="Calibri" w:cs="Tahoma"/>
        </w:rPr>
      </w:pPr>
    </w:p>
    <w:p w14:paraId="44EEC292" w14:textId="361204EA" w:rsidR="006F5D49" w:rsidRPr="006058E2" w:rsidRDefault="002E46C2" w:rsidP="00A6591B">
      <w:pPr>
        <w:pStyle w:val="Heading1"/>
      </w:pPr>
      <w:bookmarkStart w:id="5" w:name="_Toc80101330"/>
      <w:r>
        <w:t>3</w:t>
      </w:r>
      <w:r w:rsidR="006058E2" w:rsidRPr="006058E2">
        <w:t>.</w:t>
      </w:r>
      <w:r w:rsidR="006058E2">
        <w:tab/>
      </w:r>
      <w:r w:rsidR="00FA4AA2">
        <w:t>Other Conditions</w:t>
      </w:r>
      <w:bookmarkEnd w:id="5"/>
      <w:r w:rsidR="00FA4AA2">
        <w:t xml:space="preserve"> </w:t>
      </w:r>
    </w:p>
    <w:p w14:paraId="078B3DAA" w14:textId="6F115F22" w:rsidR="00AC6484" w:rsidRDefault="00D550F7" w:rsidP="00CF7100">
      <w:pPr>
        <w:spacing w:line="276" w:lineRule="auto"/>
        <w:ind w:left="720" w:hanging="720"/>
        <w:rPr>
          <w:szCs w:val="24"/>
        </w:rPr>
      </w:pPr>
      <w:r>
        <w:rPr>
          <w:szCs w:val="24"/>
        </w:rPr>
        <w:t>3</w:t>
      </w:r>
      <w:r w:rsidR="00CF7100">
        <w:rPr>
          <w:szCs w:val="24"/>
        </w:rPr>
        <w:t>.1</w:t>
      </w:r>
      <w:r w:rsidR="00CF7100">
        <w:rPr>
          <w:szCs w:val="24"/>
        </w:rPr>
        <w:tab/>
      </w:r>
      <w:r w:rsidR="00AC6484">
        <w:rPr>
          <w:szCs w:val="24"/>
        </w:rPr>
        <w:t xml:space="preserve">Determination of status is </w:t>
      </w:r>
      <w:r w:rsidR="006D0A53">
        <w:rPr>
          <w:szCs w:val="24"/>
        </w:rPr>
        <w:t>complex,</w:t>
      </w:r>
      <w:r w:rsidR="00AC6484">
        <w:rPr>
          <w:szCs w:val="24"/>
        </w:rPr>
        <w:t xml:space="preserve"> but students can check this be accessing the Scottish Government, Student Information Scotland (SIS) Portal at </w:t>
      </w:r>
      <w:hyperlink r:id="rId14" w:history="1">
        <w:r w:rsidR="00AC6484" w:rsidRPr="00DA3026">
          <w:rPr>
            <w:rStyle w:val="Hyperlink"/>
            <w:szCs w:val="24"/>
          </w:rPr>
          <w:t>https://www.studentinformation.gov.scot</w:t>
        </w:r>
      </w:hyperlink>
      <w:r w:rsidR="00AC6484">
        <w:rPr>
          <w:szCs w:val="24"/>
        </w:rPr>
        <w:t xml:space="preserve"> </w:t>
      </w:r>
      <w:r w:rsidR="001F09A3">
        <w:rPr>
          <w:szCs w:val="24"/>
        </w:rPr>
        <w:t xml:space="preserve">The portal also contains </w:t>
      </w:r>
      <w:r w:rsidR="00AC6484">
        <w:rPr>
          <w:szCs w:val="24"/>
        </w:rPr>
        <w:t>information for students on funding and finance.</w:t>
      </w:r>
    </w:p>
    <w:p w14:paraId="5F69AD1B" w14:textId="77777777" w:rsidR="00AC6484" w:rsidRDefault="00AC6484" w:rsidP="00AC6484">
      <w:pPr>
        <w:spacing w:line="276" w:lineRule="auto"/>
        <w:rPr>
          <w:szCs w:val="24"/>
        </w:rPr>
      </w:pPr>
    </w:p>
    <w:p w14:paraId="1FB6F4F6" w14:textId="08872E49" w:rsidR="00A14F75" w:rsidRDefault="00D550F7" w:rsidP="005154CE">
      <w:pPr>
        <w:spacing w:line="276" w:lineRule="auto"/>
        <w:ind w:left="720" w:hanging="720"/>
        <w:rPr>
          <w:rFonts w:ascii="Calibri" w:hAnsi="Calibri" w:cs="Tahoma"/>
        </w:rPr>
      </w:pPr>
      <w:r>
        <w:rPr>
          <w:rFonts w:ascii="Calibri" w:hAnsi="Calibri" w:cs="Tahoma"/>
        </w:rPr>
        <w:t>3</w:t>
      </w:r>
      <w:r w:rsidR="005154CE">
        <w:rPr>
          <w:rFonts w:ascii="Calibri" w:hAnsi="Calibri" w:cs="Tahoma"/>
        </w:rPr>
        <w:t>.2</w:t>
      </w:r>
      <w:r w:rsidR="005154CE">
        <w:rPr>
          <w:rFonts w:ascii="Calibri" w:hAnsi="Calibri" w:cs="Tahoma"/>
        </w:rPr>
        <w:tab/>
      </w:r>
      <w:r w:rsidR="009A47FE" w:rsidRPr="0048142B">
        <w:rPr>
          <w:rFonts w:ascii="Calibri" w:hAnsi="Calibri" w:cs="Tahoma"/>
        </w:rPr>
        <w:t xml:space="preserve">The student </w:t>
      </w:r>
      <w:r w:rsidR="002E2198">
        <w:rPr>
          <w:rFonts w:ascii="Calibri" w:hAnsi="Calibri" w:cs="Tahoma"/>
        </w:rPr>
        <w:t>must</w:t>
      </w:r>
      <w:r w:rsidR="00C14CFF">
        <w:rPr>
          <w:rFonts w:ascii="Calibri" w:hAnsi="Calibri" w:cs="Tahoma"/>
        </w:rPr>
        <w:t xml:space="preserve">, where necessary, </w:t>
      </w:r>
      <w:r w:rsidR="002E2198">
        <w:rPr>
          <w:rFonts w:ascii="Calibri" w:hAnsi="Calibri" w:cs="Tahoma"/>
        </w:rPr>
        <w:t xml:space="preserve">provide the College with </w:t>
      </w:r>
      <w:r w:rsidR="009A47FE" w:rsidRPr="0048142B">
        <w:rPr>
          <w:rFonts w:ascii="Calibri" w:hAnsi="Calibri" w:cs="Tahoma"/>
        </w:rPr>
        <w:t xml:space="preserve">evidence of their eligibility status.  </w:t>
      </w:r>
    </w:p>
    <w:p w14:paraId="6034E7A7" w14:textId="77777777" w:rsidR="00A14F75" w:rsidRDefault="00A14F75" w:rsidP="005154CE">
      <w:pPr>
        <w:spacing w:line="276" w:lineRule="auto"/>
        <w:ind w:left="720" w:hanging="720"/>
        <w:rPr>
          <w:rFonts w:ascii="Calibri" w:hAnsi="Calibri" w:cs="Tahoma"/>
        </w:rPr>
      </w:pPr>
    </w:p>
    <w:p w14:paraId="0F2D3A67" w14:textId="46B835F0" w:rsidR="009A47FE" w:rsidRDefault="00D550F7" w:rsidP="005154CE">
      <w:pPr>
        <w:spacing w:line="276" w:lineRule="auto"/>
        <w:ind w:left="720" w:hanging="720"/>
        <w:rPr>
          <w:rFonts w:ascii="Calibri" w:hAnsi="Calibri" w:cs="Tahoma"/>
        </w:rPr>
      </w:pPr>
      <w:r>
        <w:rPr>
          <w:rFonts w:ascii="Calibri" w:hAnsi="Calibri" w:cs="Tahoma"/>
        </w:rPr>
        <w:t>3</w:t>
      </w:r>
      <w:r w:rsidR="00A14F75">
        <w:rPr>
          <w:rFonts w:ascii="Calibri" w:hAnsi="Calibri" w:cs="Tahoma"/>
        </w:rPr>
        <w:t>.3</w:t>
      </w:r>
      <w:r w:rsidR="00A14F75">
        <w:rPr>
          <w:rFonts w:ascii="Calibri" w:hAnsi="Calibri" w:cs="Tahoma"/>
        </w:rPr>
        <w:tab/>
      </w:r>
      <w:r w:rsidR="009A47FE" w:rsidRPr="0048142B">
        <w:rPr>
          <w:rFonts w:ascii="Calibri" w:hAnsi="Calibri" w:cs="Tahoma"/>
        </w:rPr>
        <w:t xml:space="preserve">If </w:t>
      </w:r>
      <w:r w:rsidR="00A14F75">
        <w:rPr>
          <w:rFonts w:ascii="Calibri" w:hAnsi="Calibri" w:cs="Tahoma"/>
        </w:rPr>
        <w:t xml:space="preserve">a </w:t>
      </w:r>
      <w:r w:rsidR="009A47FE" w:rsidRPr="0048142B">
        <w:rPr>
          <w:rFonts w:ascii="Calibri" w:hAnsi="Calibri" w:cs="Tahoma"/>
        </w:rPr>
        <w:t>student</w:t>
      </w:r>
      <w:r w:rsidR="009A47FE">
        <w:rPr>
          <w:rFonts w:ascii="Calibri" w:hAnsi="Calibri" w:cs="Tahoma"/>
        </w:rPr>
        <w:t>’</w:t>
      </w:r>
      <w:r w:rsidR="009A47FE" w:rsidRPr="0048142B">
        <w:rPr>
          <w:rFonts w:ascii="Calibri" w:hAnsi="Calibri" w:cs="Tahoma"/>
        </w:rPr>
        <w:t>s circumstances change during the</w:t>
      </w:r>
      <w:r w:rsidR="009A47FE">
        <w:rPr>
          <w:rFonts w:ascii="Calibri" w:hAnsi="Calibri" w:cs="Tahoma"/>
        </w:rPr>
        <w:t>ir</w:t>
      </w:r>
      <w:r w:rsidR="009A47FE" w:rsidRPr="0048142B">
        <w:rPr>
          <w:rFonts w:ascii="Calibri" w:hAnsi="Calibri" w:cs="Tahoma"/>
        </w:rPr>
        <w:t xml:space="preserve"> course so that the</w:t>
      </w:r>
      <w:r w:rsidR="00A14F75">
        <w:rPr>
          <w:rFonts w:ascii="Calibri" w:hAnsi="Calibri" w:cs="Tahoma"/>
        </w:rPr>
        <w:t xml:space="preserve">y </w:t>
      </w:r>
      <w:r w:rsidR="009A47FE" w:rsidRPr="0048142B">
        <w:rPr>
          <w:rFonts w:ascii="Calibri" w:hAnsi="Calibri" w:cs="Tahoma"/>
        </w:rPr>
        <w:t>become eligible</w:t>
      </w:r>
      <w:r w:rsidR="009A47FE">
        <w:rPr>
          <w:rFonts w:ascii="Calibri" w:hAnsi="Calibri" w:cs="Tahoma"/>
        </w:rPr>
        <w:t xml:space="preserve"> when they were not previously</w:t>
      </w:r>
      <w:r w:rsidR="009A47FE" w:rsidRPr="0048142B">
        <w:rPr>
          <w:rFonts w:ascii="Calibri" w:hAnsi="Calibri" w:cs="Tahoma"/>
        </w:rPr>
        <w:t xml:space="preserve">, the student must notify the </w:t>
      </w:r>
      <w:r w:rsidR="009A47FE">
        <w:rPr>
          <w:rFonts w:ascii="Calibri" w:hAnsi="Calibri" w:cs="Tahoma"/>
        </w:rPr>
        <w:t>C</w:t>
      </w:r>
      <w:r w:rsidR="009A47FE" w:rsidRPr="0048142B">
        <w:rPr>
          <w:rFonts w:ascii="Calibri" w:hAnsi="Calibri" w:cs="Tahoma"/>
        </w:rPr>
        <w:t>ollege before the ‘required date’ which</w:t>
      </w:r>
      <w:r w:rsidR="001F0BC1">
        <w:rPr>
          <w:rFonts w:ascii="Calibri" w:hAnsi="Calibri" w:cs="Tahoma"/>
        </w:rPr>
        <w:t xml:space="preserve"> </w:t>
      </w:r>
      <w:r w:rsidR="009A47FE" w:rsidRPr="0048142B">
        <w:rPr>
          <w:rFonts w:ascii="Calibri" w:hAnsi="Calibri" w:cs="Tahoma"/>
        </w:rPr>
        <w:t>is</w:t>
      </w:r>
      <w:r w:rsidR="00FE0802">
        <w:rPr>
          <w:rFonts w:ascii="Calibri" w:hAnsi="Calibri" w:cs="Tahoma"/>
        </w:rPr>
        <w:t xml:space="preserve"> set as either</w:t>
      </w:r>
      <w:r w:rsidR="009A47FE" w:rsidRPr="0048142B">
        <w:rPr>
          <w:rFonts w:ascii="Calibri" w:hAnsi="Calibri" w:cs="Tahoma"/>
        </w:rPr>
        <w:t>:</w:t>
      </w:r>
    </w:p>
    <w:p w14:paraId="55262C5A" w14:textId="77777777" w:rsidR="009A47FE" w:rsidRDefault="009A47FE" w:rsidP="00040BD5">
      <w:pPr>
        <w:pStyle w:val="ListParagraph"/>
        <w:numPr>
          <w:ilvl w:val="0"/>
          <w:numId w:val="21"/>
        </w:numPr>
        <w:spacing w:line="276" w:lineRule="auto"/>
        <w:rPr>
          <w:rFonts w:ascii="Calibri" w:hAnsi="Calibri" w:cs="Tahoma"/>
        </w:rPr>
      </w:pPr>
      <w:r>
        <w:rPr>
          <w:rFonts w:ascii="Calibri" w:hAnsi="Calibri" w:cs="Tahoma"/>
        </w:rPr>
        <w:t>1 November for full-time courses starting in the summer session; or</w:t>
      </w:r>
    </w:p>
    <w:p w14:paraId="3480559B" w14:textId="77777777" w:rsidR="009A47FE" w:rsidRDefault="009A47FE" w:rsidP="00040BD5">
      <w:pPr>
        <w:pStyle w:val="ListParagraph"/>
        <w:numPr>
          <w:ilvl w:val="0"/>
          <w:numId w:val="21"/>
        </w:numPr>
        <w:spacing w:line="276" w:lineRule="auto"/>
        <w:rPr>
          <w:rFonts w:ascii="Calibri" w:hAnsi="Calibri" w:cs="Tahoma"/>
        </w:rPr>
      </w:pPr>
      <w:r w:rsidRPr="005F1C9F">
        <w:rPr>
          <w:rFonts w:ascii="Calibri" w:hAnsi="Calibri" w:cs="Tahoma"/>
        </w:rPr>
        <w:t>The date on which 25% of the course duration in days has elapsed for other FT and PT courses.</w:t>
      </w:r>
    </w:p>
    <w:p w14:paraId="3A60FE24" w14:textId="77777777" w:rsidR="009A47FE" w:rsidRDefault="009A47FE" w:rsidP="00AC6484">
      <w:pPr>
        <w:spacing w:line="276" w:lineRule="auto"/>
        <w:rPr>
          <w:rFonts w:ascii="Calibri" w:hAnsi="Calibri" w:cs="Tahoma"/>
        </w:rPr>
      </w:pPr>
    </w:p>
    <w:p w14:paraId="360274F5" w14:textId="4ACC1123" w:rsidR="009A47FE" w:rsidRPr="00263A2C" w:rsidRDefault="00D550F7" w:rsidP="00AC6484">
      <w:pPr>
        <w:spacing w:line="276" w:lineRule="auto"/>
        <w:rPr>
          <w:rFonts w:ascii="Calibri" w:hAnsi="Calibri" w:cs="Tahoma"/>
        </w:rPr>
      </w:pPr>
      <w:r>
        <w:rPr>
          <w:rFonts w:ascii="Calibri" w:hAnsi="Calibri" w:cs="Tahoma"/>
        </w:rPr>
        <w:t>3</w:t>
      </w:r>
      <w:r w:rsidR="00FE0802">
        <w:rPr>
          <w:rFonts w:ascii="Calibri" w:hAnsi="Calibri" w:cs="Tahoma"/>
        </w:rPr>
        <w:t>.4</w:t>
      </w:r>
      <w:r w:rsidR="00FE0802">
        <w:rPr>
          <w:rFonts w:ascii="Calibri" w:hAnsi="Calibri" w:cs="Tahoma"/>
        </w:rPr>
        <w:tab/>
      </w:r>
      <w:r w:rsidR="009A47FE" w:rsidRPr="00263A2C">
        <w:rPr>
          <w:rFonts w:ascii="Calibri" w:hAnsi="Calibri" w:cs="Tahoma"/>
        </w:rPr>
        <w:t>There is no upper or lower age limit on student’s eligibility for fee waiver grant</w:t>
      </w:r>
      <w:r w:rsidR="009A47FE">
        <w:rPr>
          <w:rFonts w:ascii="Calibri" w:hAnsi="Calibri" w:cs="Tahoma"/>
        </w:rPr>
        <w:t>.</w:t>
      </w:r>
    </w:p>
    <w:p w14:paraId="174DB898" w14:textId="77777777" w:rsidR="009A47FE" w:rsidRPr="00263A2C" w:rsidRDefault="009A47FE" w:rsidP="00AC6484">
      <w:pPr>
        <w:spacing w:line="276" w:lineRule="auto"/>
        <w:rPr>
          <w:rFonts w:ascii="Calibri" w:hAnsi="Calibri" w:cs="Tahoma"/>
        </w:rPr>
      </w:pPr>
    </w:p>
    <w:p w14:paraId="3F09E073" w14:textId="77777777" w:rsidR="001852AA" w:rsidRDefault="001852AA" w:rsidP="00A6591B">
      <w:pPr>
        <w:pStyle w:val="Heading1"/>
      </w:pPr>
      <w:bookmarkStart w:id="6" w:name="_Toc80101331"/>
      <w:r w:rsidRPr="001852AA">
        <w:t>4.</w:t>
      </w:r>
      <w:r w:rsidRPr="001852AA">
        <w:tab/>
      </w:r>
      <w:r>
        <w:t>Responsibilities and Assessment</w:t>
      </w:r>
      <w:bookmarkEnd w:id="6"/>
    </w:p>
    <w:p w14:paraId="57F1CB7B" w14:textId="77777777" w:rsidR="00B15603" w:rsidRDefault="00373C54" w:rsidP="00B15603">
      <w:pPr>
        <w:tabs>
          <w:tab w:val="left" w:pos="0"/>
        </w:tabs>
        <w:spacing w:line="276" w:lineRule="auto"/>
        <w:ind w:left="720" w:hanging="720"/>
        <w:rPr>
          <w:rFonts w:ascii="Calibri" w:eastAsia="Times New Roman" w:hAnsi="Calibri" w:cs="Times New Roman"/>
          <w:bCs/>
          <w:szCs w:val="24"/>
        </w:rPr>
      </w:pPr>
      <w:r>
        <w:rPr>
          <w:rFonts w:ascii="Calibri" w:eastAsia="Times New Roman" w:hAnsi="Calibri" w:cs="Times New Roman"/>
          <w:bCs/>
          <w:szCs w:val="24"/>
        </w:rPr>
        <w:t>4.1</w:t>
      </w:r>
      <w:r>
        <w:rPr>
          <w:rFonts w:ascii="Calibri" w:eastAsia="Times New Roman" w:hAnsi="Calibri" w:cs="Times New Roman"/>
          <w:bCs/>
          <w:szCs w:val="24"/>
        </w:rPr>
        <w:tab/>
      </w:r>
      <w:r w:rsidR="009A47FE" w:rsidRPr="009A47FE">
        <w:rPr>
          <w:rFonts w:ascii="Calibri" w:eastAsia="Times New Roman" w:hAnsi="Calibri" w:cs="Times New Roman"/>
          <w:bCs/>
          <w:szCs w:val="24"/>
        </w:rPr>
        <w:t xml:space="preserve">Where a student has chosen the Fee Waiver option on their course Enrolment Form, they must then complete a Fee Waiver Form and provide evidence of the benefits they are in receipt of for each course of study.  </w:t>
      </w:r>
    </w:p>
    <w:p w14:paraId="2285E795" w14:textId="77777777" w:rsidR="00B15603" w:rsidRDefault="00B15603" w:rsidP="00B15603">
      <w:pPr>
        <w:tabs>
          <w:tab w:val="left" w:pos="0"/>
        </w:tabs>
        <w:spacing w:line="276" w:lineRule="auto"/>
        <w:ind w:left="720" w:hanging="720"/>
        <w:rPr>
          <w:rFonts w:ascii="Calibri" w:eastAsia="Times New Roman" w:hAnsi="Calibri" w:cs="Times New Roman"/>
          <w:bCs/>
          <w:szCs w:val="24"/>
        </w:rPr>
      </w:pPr>
    </w:p>
    <w:p w14:paraId="58C13976" w14:textId="7875A162" w:rsidR="009A47FE" w:rsidRPr="009A47FE" w:rsidRDefault="00B15603" w:rsidP="00B15603">
      <w:pPr>
        <w:tabs>
          <w:tab w:val="left" w:pos="0"/>
        </w:tabs>
        <w:spacing w:line="276" w:lineRule="auto"/>
        <w:ind w:left="720" w:hanging="720"/>
        <w:rPr>
          <w:rFonts w:ascii="Calibri" w:eastAsia="Times New Roman" w:hAnsi="Calibri" w:cs="Times New Roman"/>
          <w:bCs/>
          <w:szCs w:val="24"/>
        </w:rPr>
      </w:pPr>
      <w:r>
        <w:rPr>
          <w:rFonts w:ascii="Calibri" w:eastAsia="Times New Roman" w:hAnsi="Calibri" w:cs="Times New Roman"/>
          <w:bCs/>
          <w:szCs w:val="24"/>
        </w:rPr>
        <w:t>4.2</w:t>
      </w:r>
      <w:r>
        <w:rPr>
          <w:rFonts w:ascii="Calibri" w:eastAsia="Times New Roman" w:hAnsi="Calibri" w:cs="Times New Roman"/>
          <w:bCs/>
          <w:szCs w:val="24"/>
        </w:rPr>
        <w:tab/>
      </w:r>
      <w:r w:rsidR="009A47FE" w:rsidRPr="009A47FE">
        <w:rPr>
          <w:rFonts w:ascii="Calibri" w:eastAsia="Times New Roman" w:hAnsi="Calibri" w:cs="Times New Roman"/>
          <w:bCs/>
          <w:szCs w:val="24"/>
        </w:rPr>
        <w:t xml:space="preserve">Each application will be assessed to ensure the criteria set out in the </w:t>
      </w:r>
      <w:hyperlink r:id="rId15" w:history="1">
        <w:r w:rsidR="009A47FE" w:rsidRPr="003B3DD9">
          <w:rPr>
            <w:rStyle w:val="Hyperlink"/>
            <w:rFonts w:ascii="Calibri" w:eastAsia="Times New Roman" w:hAnsi="Calibri" w:cs="Times New Roman"/>
            <w:bCs/>
            <w:szCs w:val="24"/>
          </w:rPr>
          <w:t>SFC Fee Waiver Policy</w:t>
        </w:r>
      </w:hyperlink>
      <w:r w:rsidR="009A47FE" w:rsidRPr="009A47FE">
        <w:rPr>
          <w:rFonts w:ascii="Calibri" w:eastAsia="Times New Roman" w:hAnsi="Calibri" w:cs="Times New Roman"/>
          <w:bCs/>
          <w:szCs w:val="24"/>
        </w:rPr>
        <w:t xml:space="preserve">, adopted by the College in this document, meets the necessary criteria. Students whose applications are successful will not need to fund their course fee. </w:t>
      </w:r>
    </w:p>
    <w:p w14:paraId="07C64D85" w14:textId="77777777" w:rsidR="009A47FE" w:rsidRPr="009A47FE" w:rsidRDefault="009A47FE" w:rsidP="00AC6484">
      <w:pPr>
        <w:tabs>
          <w:tab w:val="left" w:pos="0"/>
        </w:tabs>
        <w:spacing w:line="276" w:lineRule="auto"/>
        <w:rPr>
          <w:rFonts w:ascii="Calibri" w:eastAsia="Times New Roman" w:hAnsi="Calibri" w:cs="Times New Roman"/>
          <w:bCs/>
          <w:szCs w:val="24"/>
        </w:rPr>
      </w:pPr>
    </w:p>
    <w:p w14:paraId="5D989F23" w14:textId="18E0AA94" w:rsidR="009A47FE" w:rsidRPr="009A47FE" w:rsidRDefault="0009450A" w:rsidP="0009450A">
      <w:pPr>
        <w:tabs>
          <w:tab w:val="left" w:pos="0"/>
        </w:tabs>
        <w:spacing w:line="276" w:lineRule="auto"/>
        <w:ind w:left="720" w:hanging="720"/>
        <w:rPr>
          <w:rFonts w:ascii="Calibri" w:eastAsia="Times New Roman" w:hAnsi="Calibri" w:cs="Times New Roman"/>
          <w:bCs/>
          <w:szCs w:val="24"/>
        </w:rPr>
      </w:pPr>
      <w:r>
        <w:rPr>
          <w:rFonts w:ascii="Calibri" w:eastAsia="Times New Roman" w:hAnsi="Calibri" w:cs="Times New Roman"/>
          <w:bCs/>
          <w:szCs w:val="24"/>
        </w:rPr>
        <w:t>4.3</w:t>
      </w:r>
      <w:r>
        <w:rPr>
          <w:rFonts w:ascii="Calibri" w:eastAsia="Times New Roman" w:hAnsi="Calibri" w:cs="Times New Roman"/>
          <w:bCs/>
          <w:szCs w:val="24"/>
        </w:rPr>
        <w:tab/>
      </w:r>
      <w:r w:rsidR="009A47FE" w:rsidRPr="009A47FE">
        <w:rPr>
          <w:rFonts w:ascii="Calibri" w:eastAsia="Times New Roman" w:hAnsi="Calibri" w:cs="Times New Roman"/>
          <w:bCs/>
          <w:szCs w:val="24"/>
        </w:rPr>
        <w:t xml:space="preserve">Where an application is unsuccessful, the student will be advised that they need to pay their own tuition fees. </w:t>
      </w:r>
      <w:r w:rsidR="00AC6484">
        <w:rPr>
          <w:rFonts w:ascii="Calibri" w:eastAsia="Times New Roman" w:hAnsi="Calibri" w:cs="Times New Roman"/>
          <w:bCs/>
          <w:szCs w:val="24"/>
        </w:rPr>
        <w:t>Students should refer to the College Fee Policy for the options available for payment of</w:t>
      </w:r>
      <w:r w:rsidR="009A47FE" w:rsidRPr="009A47FE">
        <w:rPr>
          <w:rFonts w:ascii="Calibri" w:eastAsia="Times New Roman" w:hAnsi="Calibri" w:cs="Times New Roman"/>
          <w:bCs/>
          <w:szCs w:val="24"/>
        </w:rPr>
        <w:t xml:space="preserve"> course fees.</w:t>
      </w:r>
    </w:p>
    <w:p w14:paraId="0DE4B5B7" w14:textId="77777777" w:rsidR="008938FB" w:rsidRPr="006058E2" w:rsidRDefault="008938FB" w:rsidP="00AC6484">
      <w:pPr>
        <w:tabs>
          <w:tab w:val="left" w:pos="0"/>
        </w:tabs>
        <w:spacing w:line="276" w:lineRule="auto"/>
        <w:rPr>
          <w:rFonts w:ascii="Calibri" w:eastAsia="Times New Roman" w:hAnsi="Calibri" w:cs="Times New Roman"/>
          <w:bCs/>
          <w:szCs w:val="24"/>
        </w:rPr>
      </w:pPr>
    </w:p>
    <w:p w14:paraId="7AC468EF" w14:textId="77777777" w:rsidR="0090528C" w:rsidRDefault="004D1C24" w:rsidP="0090528C">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28"/>
          <w:szCs w:val="28"/>
        </w:rPr>
        <w:t>5</w:t>
      </w:r>
      <w:r w:rsidR="0090528C">
        <w:rPr>
          <w:rStyle w:val="normaltextrun"/>
          <w:rFonts w:ascii="Calibri" w:hAnsi="Calibri" w:cs="Calibri"/>
          <w:b/>
          <w:bCs/>
          <w:sz w:val="28"/>
          <w:szCs w:val="28"/>
        </w:rPr>
        <w:t>.</w:t>
      </w:r>
      <w:r w:rsidR="0090528C">
        <w:rPr>
          <w:rStyle w:val="normaltextrun"/>
          <w:rFonts w:ascii="Calibri" w:hAnsi="Calibri" w:cs="Calibri"/>
          <w:b/>
          <w:bCs/>
          <w:sz w:val="28"/>
          <w:szCs w:val="28"/>
        </w:rPr>
        <w:tab/>
      </w:r>
      <w:r>
        <w:rPr>
          <w:rStyle w:val="normaltextrun"/>
          <w:rFonts w:ascii="Calibri" w:hAnsi="Calibri" w:cs="Calibri"/>
          <w:b/>
          <w:bCs/>
          <w:sz w:val="28"/>
          <w:szCs w:val="28"/>
        </w:rPr>
        <w:t>Review</w:t>
      </w:r>
      <w:r>
        <w:rPr>
          <w:rStyle w:val="eop"/>
          <w:rFonts w:ascii="Calibri" w:hAnsi="Calibri" w:cs="Calibri"/>
          <w:b/>
          <w:bCs/>
          <w:sz w:val="28"/>
          <w:szCs w:val="28"/>
        </w:rPr>
        <w:t> </w:t>
      </w:r>
    </w:p>
    <w:p w14:paraId="36A56089" w14:textId="77777777" w:rsidR="0090528C" w:rsidRDefault="0090528C" w:rsidP="0090528C">
      <w:pPr>
        <w:pStyle w:val="paragraph"/>
        <w:spacing w:before="0" w:beforeAutospacing="0" w:after="0" w:afterAutospacing="0"/>
        <w:textAlignment w:val="baseline"/>
        <w:rPr>
          <w:rFonts w:ascii="Segoe UI" w:hAnsi="Segoe UI" w:cs="Segoe UI"/>
          <w:b/>
          <w:bCs/>
          <w:sz w:val="18"/>
          <w:szCs w:val="18"/>
        </w:rPr>
      </w:pPr>
    </w:p>
    <w:p w14:paraId="7C166055" w14:textId="3559E4A0" w:rsidR="004D1C24" w:rsidRPr="00424813" w:rsidRDefault="0090528C" w:rsidP="00424813">
      <w:pPr>
        <w:tabs>
          <w:tab w:val="left" w:pos="0"/>
        </w:tabs>
        <w:spacing w:line="276" w:lineRule="auto"/>
        <w:ind w:left="720" w:hanging="720"/>
        <w:rPr>
          <w:rFonts w:ascii="Calibri" w:eastAsia="Times New Roman" w:hAnsi="Calibri" w:cs="Times New Roman"/>
          <w:bCs/>
          <w:szCs w:val="24"/>
        </w:rPr>
      </w:pPr>
      <w:r w:rsidRPr="00424813">
        <w:rPr>
          <w:rFonts w:ascii="Calibri" w:eastAsia="Times New Roman" w:hAnsi="Calibri" w:cs="Times New Roman"/>
          <w:bCs/>
          <w:szCs w:val="24"/>
        </w:rPr>
        <w:t>5.1</w:t>
      </w:r>
      <w:r w:rsidRPr="00424813">
        <w:rPr>
          <w:rFonts w:ascii="Calibri" w:eastAsia="Times New Roman" w:hAnsi="Calibri" w:cs="Times New Roman"/>
          <w:bCs/>
          <w:szCs w:val="24"/>
        </w:rPr>
        <w:tab/>
      </w:r>
      <w:r w:rsidR="004D1C24" w:rsidRPr="00424813">
        <w:rPr>
          <w:rFonts w:ascii="Calibri" w:eastAsia="Times New Roman" w:hAnsi="Calibri" w:cs="Times New Roman"/>
          <w:bCs/>
          <w:szCs w:val="24"/>
        </w:rPr>
        <w:t>This Policy will be reviewed annually in advance of the start of each academic session. </w:t>
      </w:r>
    </w:p>
    <w:p w14:paraId="66204FF1" w14:textId="77777777" w:rsidR="008938FB" w:rsidRDefault="008938FB" w:rsidP="00AC6484">
      <w:pPr>
        <w:tabs>
          <w:tab w:val="left" w:pos="0"/>
        </w:tabs>
        <w:spacing w:line="276" w:lineRule="auto"/>
        <w:rPr>
          <w:b/>
          <w:szCs w:val="24"/>
        </w:rPr>
      </w:pPr>
    </w:p>
    <w:p w14:paraId="2DBF0D7D" w14:textId="77777777" w:rsidR="008938FB" w:rsidRDefault="008938FB" w:rsidP="00AC6484">
      <w:pPr>
        <w:tabs>
          <w:tab w:val="left" w:pos="0"/>
        </w:tabs>
        <w:rPr>
          <w:b/>
          <w:szCs w:val="24"/>
        </w:rPr>
      </w:pPr>
    </w:p>
    <w:p w14:paraId="6B62F1B3" w14:textId="77777777" w:rsidR="008938FB" w:rsidRDefault="008938FB" w:rsidP="008400D2">
      <w:pPr>
        <w:tabs>
          <w:tab w:val="left" w:pos="0"/>
        </w:tabs>
        <w:rPr>
          <w:b/>
          <w:szCs w:val="24"/>
        </w:rPr>
        <w:sectPr w:rsidR="008938FB" w:rsidSect="005732EE">
          <w:footerReference w:type="default" r:id="rId16"/>
          <w:pgSz w:w="11906" w:h="16838"/>
          <w:pgMar w:top="1440" w:right="1440" w:bottom="1135" w:left="1440" w:header="709" w:footer="709" w:gutter="0"/>
          <w:cols w:space="708"/>
          <w:docGrid w:linePitch="360"/>
        </w:sectPr>
      </w:pPr>
    </w:p>
    <w:p w14:paraId="5CAE04A5" w14:textId="77777777" w:rsidR="001852AA" w:rsidRDefault="009A47FE" w:rsidP="00A6591B">
      <w:pPr>
        <w:pStyle w:val="Heading1"/>
      </w:pPr>
      <w:bookmarkStart w:id="7" w:name="_Toc80101332"/>
      <w:r w:rsidRPr="4A72DA57">
        <w:lastRenderedPageBreak/>
        <w:t>APPENDIX A</w:t>
      </w:r>
      <w:r w:rsidR="00A6591B">
        <w:t xml:space="preserve"> – Eligibility for fee waiver</w:t>
      </w:r>
      <w:bookmarkEnd w:id="7"/>
    </w:p>
    <w:p w14:paraId="1BC68689" w14:textId="0C3FAE01" w:rsidR="00A6591B" w:rsidRDefault="00450709" w:rsidP="00A6591B">
      <w:pPr>
        <w:tabs>
          <w:tab w:val="left" w:pos="0"/>
        </w:tabs>
        <w:rPr>
          <w:b/>
          <w:bCs/>
          <w:sz w:val="28"/>
          <w:szCs w:val="28"/>
        </w:rPr>
      </w:pPr>
      <w:r>
        <w:rPr>
          <w:b/>
          <w:bCs/>
          <w:noProof/>
          <w:sz w:val="28"/>
          <w:szCs w:val="28"/>
        </w:rPr>
        <w:drawing>
          <wp:inline distT="0" distB="0" distL="0" distR="0" wp14:anchorId="15059C8F" wp14:editId="04DC2337">
            <wp:extent cx="8608060" cy="53771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08060" cy="5377180"/>
                    </a:xfrm>
                    <a:prstGeom prst="rect">
                      <a:avLst/>
                    </a:prstGeom>
                    <a:noFill/>
                  </pic:spPr>
                </pic:pic>
              </a:graphicData>
            </a:graphic>
          </wp:inline>
        </w:drawing>
      </w:r>
    </w:p>
    <w:p w14:paraId="4BFC12FF" w14:textId="2A24056C" w:rsidR="00A6591B" w:rsidRPr="008938FB" w:rsidRDefault="00A6591B" w:rsidP="00A6591B">
      <w:pPr>
        <w:tabs>
          <w:tab w:val="left" w:pos="0"/>
        </w:tabs>
        <w:rPr>
          <w:b/>
          <w:sz w:val="28"/>
          <w:szCs w:val="28"/>
        </w:rPr>
        <w:sectPr w:rsidR="00A6591B" w:rsidRPr="008938FB" w:rsidSect="005732EE">
          <w:footerReference w:type="default" r:id="rId18"/>
          <w:pgSz w:w="16838" w:h="11906" w:orient="landscape"/>
          <w:pgMar w:top="1440" w:right="1440" w:bottom="1440" w:left="1135" w:header="709" w:footer="1035" w:gutter="0"/>
          <w:cols w:space="708"/>
          <w:docGrid w:linePitch="360"/>
        </w:sectPr>
      </w:pPr>
    </w:p>
    <w:p w14:paraId="02F2C34E" w14:textId="77777777" w:rsidR="008A4055" w:rsidRDefault="008A4055" w:rsidP="00DF51B1">
      <w:pPr>
        <w:rPr>
          <w:b/>
          <w:szCs w:val="24"/>
        </w:rPr>
      </w:pPr>
    </w:p>
    <w:p w14:paraId="680A4E5D" w14:textId="77777777" w:rsidR="00BC314E" w:rsidRDefault="00BC314E" w:rsidP="00DF51B1">
      <w:pPr>
        <w:rPr>
          <w:b/>
          <w:szCs w:val="24"/>
        </w:rPr>
      </w:pPr>
    </w:p>
    <w:p w14:paraId="260A55FC" w14:textId="77777777" w:rsidR="00241629" w:rsidRPr="001973D9" w:rsidRDefault="00261D03" w:rsidP="00CF7100">
      <w:pPr>
        <w:pStyle w:val="PolicyHeading"/>
        <w:rPr>
          <w:rFonts w:cs="Calibri"/>
          <w:i/>
        </w:rPr>
      </w:pPr>
      <w:bookmarkStart w:id="8" w:name="_Toc445297387"/>
      <w:bookmarkStart w:id="9" w:name="_Toc80101298"/>
      <w:r>
        <w:rPr>
          <w:noProof/>
          <w:lang w:val="en-US"/>
        </w:rPr>
        <w:drawing>
          <wp:anchor distT="0" distB="0" distL="114300" distR="114300" simplePos="0" relativeHeight="251658241" behindDoc="1" locked="0" layoutInCell="1" allowOverlap="1" wp14:anchorId="43745325" wp14:editId="07777777">
            <wp:simplePos x="0" y="0"/>
            <wp:positionH relativeFrom="margin">
              <wp:posOffset>4112260</wp:posOffset>
            </wp:positionH>
            <wp:positionV relativeFrom="margin">
              <wp:posOffset>-447675</wp:posOffset>
            </wp:positionV>
            <wp:extent cx="1800225" cy="790575"/>
            <wp:effectExtent l="0" t="0" r="9525" b="9525"/>
            <wp:wrapTight wrapText="bothSides">
              <wp:wrapPolygon edited="0">
                <wp:start x="0" y="0"/>
                <wp:lineTo x="0" y="21340"/>
                <wp:lineTo x="21486" y="21340"/>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 Logo_small.jpg"/>
                    <pic:cNvPicPr/>
                  </pic:nvPicPr>
                  <pic:blipFill>
                    <a:blip r:embed="rId19">
                      <a:extLst>
                        <a:ext uri="{28A0092B-C50C-407E-A947-70E740481C1C}">
                          <a14:useLocalDpi xmlns:a14="http://schemas.microsoft.com/office/drawing/2010/main" val="0"/>
                        </a:ext>
                      </a:extLst>
                    </a:blip>
                    <a:stretch>
                      <a:fillRect/>
                    </a:stretch>
                  </pic:blipFill>
                  <pic:spPr>
                    <a:xfrm>
                      <a:off x="0" y="0"/>
                      <a:ext cx="1800225" cy="790575"/>
                    </a:xfrm>
                    <a:prstGeom prst="rect">
                      <a:avLst/>
                    </a:prstGeom>
                  </pic:spPr>
                </pic:pic>
              </a:graphicData>
            </a:graphic>
          </wp:anchor>
        </w:drawing>
      </w:r>
      <w:bookmarkEnd w:id="1"/>
      <w:r>
        <w:t>Equality Impact Assessment</w:t>
      </w:r>
      <w:bookmarkEnd w:id="8"/>
      <w:bookmarkEnd w:id="9"/>
    </w:p>
    <w:p w14:paraId="19219836" w14:textId="77777777" w:rsidR="00EB2E62" w:rsidRDefault="00EB2E62" w:rsidP="00EB2E62">
      <w:pPr>
        <w:spacing w:line="276" w:lineRule="auto"/>
        <w:rPr>
          <w:rFonts w:ascii="Calibri" w:eastAsia="Times New Roman" w:hAnsi="Calibri" w:cs="Calibri"/>
          <w:szCs w:val="24"/>
        </w:rPr>
      </w:pPr>
    </w:p>
    <w:p w14:paraId="7DFB9242" w14:textId="77777777" w:rsidR="00EB2E62" w:rsidRPr="009321E8" w:rsidRDefault="00EB2E62" w:rsidP="00EB2E62">
      <w:pPr>
        <w:pBdr>
          <w:top w:val="single" w:sz="4" w:space="1" w:color="auto"/>
          <w:left w:val="single" w:sz="4" w:space="4" w:color="auto"/>
          <w:bottom w:val="single" w:sz="4" w:space="1" w:color="auto"/>
          <w:right w:val="single" w:sz="4" w:space="4" w:color="auto"/>
        </w:pBdr>
        <w:rPr>
          <w:rFonts w:ascii="Calibri" w:eastAsia="Times New Roman" w:hAnsi="Calibri" w:cs="Calibri"/>
          <w:szCs w:val="24"/>
        </w:rPr>
      </w:pPr>
      <w:r>
        <w:rPr>
          <w:rFonts w:ascii="Calibri" w:eastAsia="Times New Roman" w:hAnsi="Calibri" w:cs="Calibri"/>
          <w:b/>
          <w:szCs w:val="24"/>
        </w:rPr>
        <w:t xml:space="preserve">Name of policy/procedure/decision:  </w:t>
      </w:r>
      <w:r w:rsidR="00CC5B3D">
        <w:rPr>
          <w:rFonts w:ascii="Calibri" w:eastAsia="Times New Roman" w:hAnsi="Calibri" w:cs="Calibri"/>
          <w:szCs w:val="24"/>
        </w:rPr>
        <w:t>Fee Waiver</w:t>
      </w:r>
    </w:p>
    <w:p w14:paraId="296FEF7D" w14:textId="77777777" w:rsidR="00EB2E62" w:rsidRDefault="00EB2E62" w:rsidP="00EB2E62">
      <w:pPr>
        <w:rPr>
          <w:rFonts w:ascii="Calibri" w:eastAsia="Times New Roman" w:hAnsi="Calibri" w:cs="Calibri"/>
          <w:b/>
          <w:szCs w:val="24"/>
        </w:rPr>
      </w:pPr>
    </w:p>
    <w:p w14:paraId="5A7E6993" w14:textId="77777777" w:rsidR="00EB2E62" w:rsidRDefault="00EB2E62" w:rsidP="00EB2E62">
      <w:pPr>
        <w:pBdr>
          <w:top w:val="single" w:sz="4" w:space="1" w:color="auto"/>
          <w:left w:val="single" w:sz="4" w:space="4" w:color="auto"/>
          <w:bottom w:val="single" w:sz="4" w:space="1" w:color="auto"/>
          <w:right w:val="single" w:sz="4" w:space="4" w:color="auto"/>
        </w:pBdr>
        <w:rPr>
          <w:rFonts w:ascii="Calibri" w:eastAsia="Times New Roman" w:hAnsi="Calibri" w:cs="Calibri"/>
          <w:b/>
          <w:szCs w:val="24"/>
        </w:rPr>
      </w:pPr>
      <w:r>
        <w:rPr>
          <w:rFonts w:ascii="Calibri" w:eastAsia="Times New Roman" w:hAnsi="Calibri" w:cs="Calibri"/>
          <w:b/>
          <w:szCs w:val="24"/>
        </w:rPr>
        <w:t xml:space="preserve">Provide </w:t>
      </w:r>
      <w:proofErr w:type="gramStart"/>
      <w:r>
        <w:rPr>
          <w:rFonts w:ascii="Calibri" w:eastAsia="Times New Roman" w:hAnsi="Calibri" w:cs="Calibri"/>
          <w:b/>
          <w:szCs w:val="24"/>
        </w:rPr>
        <w:t>a brief summary</w:t>
      </w:r>
      <w:proofErr w:type="gramEnd"/>
      <w:r>
        <w:rPr>
          <w:rFonts w:ascii="Calibri" w:eastAsia="Times New Roman" w:hAnsi="Calibri" w:cs="Calibri"/>
          <w:b/>
          <w:szCs w:val="24"/>
        </w:rPr>
        <w:t xml:space="preserve"> of the aims of the policy/procedure/decision and main activities:</w:t>
      </w:r>
    </w:p>
    <w:p w14:paraId="697AE6BC" w14:textId="77777777" w:rsidR="005F21FA" w:rsidRDefault="005F21FA" w:rsidP="00C94793">
      <w:pPr>
        <w:pBdr>
          <w:top w:val="single" w:sz="4" w:space="1" w:color="auto"/>
          <w:left w:val="single" w:sz="4" w:space="4" w:color="auto"/>
          <w:bottom w:val="single" w:sz="4" w:space="1" w:color="auto"/>
          <w:right w:val="single" w:sz="4" w:space="4" w:color="auto"/>
        </w:pBdr>
        <w:jc w:val="both"/>
        <w:rPr>
          <w:rFonts w:ascii="Calibri" w:eastAsia="Times New Roman" w:hAnsi="Calibri" w:cs="Calibri"/>
          <w:b/>
          <w:szCs w:val="24"/>
        </w:rPr>
      </w:pPr>
      <w:r>
        <w:rPr>
          <w:rFonts w:ascii="Calibri" w:eastAsia="Times New Roman" w:hAnsi="Calibri" w:cs="Calibri"/>
          <w:szCs w:val="24"/>
        </w:rPr>
        <w:t xml:space="preserve">This Policy allows certain categories of students who may be financially disadvantaged to have their fees waived in line with the </w:t>
      </w:r>
      <w:r w:rsidRPr="005F21FA">
        <w:rPr>
          <w:rFonts w:ascii="Calibri" w:eastAsia="Times New Roman" w:hAnsi="Calibri" w:cs="Calibri"/>
          <w:szCs w:val="24"/>
        </w:rPr>
        <w:t>Scottish Funding Council current policy guidance.</w:t>
      </w:r>
      <w:r>
        <w:rPr>
          <w:rFonts w:ascii="Calibri" w:eastAsia="Times New Roman" w:hAnsi="Calibri" w:cs="Calibri"/>
          <w:b/>
          <w:szCs w:val="24"/>
        </w:rPr>
        <w:t xml:space="preserve"> </w:t>
      </w:r>
      <w:r w:rsidRPr="005F21FA">
        <w:rPr>
          <w:rFonts w:ascii="Calibri" w:eastAsia="Times New Roman" w:hAnsi="Calibri" w:cs="Calibri"/>
          <w:b/>
          <w:szCs w:val="24"/>
        </w:rPr>
        <w:t xml:space="preserve"> </w:t>
      </w:r>
    </w:p>
    <w:p w14:paraId="7194DBDC" w14:textId="77777777" w:rsidR="005F21FA" w:rsidRDefault="005F21FA" w:rsidP="00EB2E62">
      <w:pPr>
        <w:pBdr>
          <w:top w:val="single" w:sz="4" w:space="1" w:color="auto"/>
          <w:left w:val="single" w:sz="4" w:space="4" w:color="auto"/>
          <w:bottom w:val="single" w:sz="4" w:space="1" w:color="auto"/>
          <w:right w:val="single" w:sz="4" w:space="4" w:color="auto"/>
        </w:pBdr>
        <w:rPr>
          <w:rFonts w:ascii="Calibri" w:eastAsia="Times New Roman" w:hAnsi="Calibri" w:cs="Calibri"/>
          <w:b/>
          <w:szCs w:val="24"/>
        </w:rPr>
      </w:pPr>
    </w:p>
    <w:p w14:paraId="769D0D3C" w14:textId="77777777" w:rsidR="00EB2E62" w:rsidRDefault="00EB2E62" w:rsidP="00EB2E62">
      <w:pPr>
        <w:jc w:val="both"/>
        <w:rPr>
          <w:rFonts w:ascii="Calibri" w:eastAsia="Times New Roman" w:hAnsi="Calibri" w:cs="Calibri"/>
          <w:i/>
          <w:szCs w:val="24"/>
        </w:rPr>
      </w:pPr>
    </w:p>
    <w:p w14:paraId="0ECF4063" w14:textId="2649AAF0" w:rsidR="00EB2E62" w:rsidRPr="005F21FA" w:rsidRDefault="00C94793" w:rsidP="195B665F">
      <w:pPr>
        <w:pBdr>
          <w:top w:val="single" w:sz="4" w:space="1" w:color="auto"/>
          <w:left w:val="single" w:sz="4" w:space="4" w:color="auto"/>
          <w:bottom w:val="single" w:sz="4" w:space="1" w:color="auto"/>
          <w:right w:val="single" w:sz="4" w:space="4" w:color="auto"/>
        </w:pBdr>
        <w:jc w:val="both"/>
        <w:rPr>
          <w:rFonts w:ascii="Calibri,Times New Roman" w:eastAsia="Calibri,Times New Roman" w:hAnsi="Calibri,Times New Roman" w:cs="Calibri,Times New Roman"/>
        </w:rPr>
      </w:pPr>
      <w:r w:rsidRPr="195B665F">
        <w:rPr>
          <w:rFonts w:ascii="Calibri" w:eastAsia="Calibri" w:hAnsi="Calibri" w:cs="Calibri"/>
          <w:b/>
          <w:bCs/>
        </w:rPr>
        <w:t>Assessed By:</w:t>
      </w:r>
      <w:r>
        <w:rPr>
          <w:rFonts w:ascii="Calibri" w:eastAsia="Times New Roman" w:hAnsi="Calibri" w:cs="Calibri"/>
          <w:b/>
          <w:szCs w:val="24"/>
        </w:rPr>
        <w:tab/>
      </w:r>
      <w:r w:rsidR="001748AE">
        <w:rPr>
          <w:rFonts w:ascii="Calibri" w:eastAsia="Times New Roman" w:hAnsi="Calibri" w:cs="Calibri"/>
          <w:b/>
          <w:szCs w:val="24"/>
        </w:rPr>
        <w:t>Clare Fraser</w:t>
      </w:r>
      <w:r>
        <w:rPr>
          <w:rFonts w:ascii="Calibri" w:eastAsia="Times New Roman" w:hAnsi="Calibri" w:cs="Calibri"/>
          <w:b/>
          <w:szCs w:val="24"/>
        </w:rPr>
        <w:tab/>
      </w:r>
      <w:r w:rsidR="00EB2E62" w:rsidRPr="00630C52">
        <w:rPr>
          <w:rFonts w:ascii="Calibri" w:eastAsia="Calibri" w:hAnsi="Calibri" w:cs="Calibri"/>
          <w:b/>
          <w:bCs/>
        </w:rPr>
        <w:t xml:space="preserve">Date: </w:t>
      </w:r>
      <w:r w:rsidR="001748AE">
        <w:rPr>
          <w:rFonts w:ascii="Calibri" w:eastAsia="Calibri" w:hAnsi="Calibri" w:cs="Calibri"/>
          <w:b/>
          <w:bCs/>
        </w:rPr>
        <w:t>20 July 2020</w:t>
      </w:r>
    </w:p>
    <w:p w14:paraId="54CD245A" w14:textId="77777777" w:rsidR="00EB2E62" w:rsidRDefault="00EB2E62" w:rsidP="00EB2E62">
      <w:pPr>
        <w:spacing w:line="240" w:lineRule="auto"/>
        <w:jc w:val="both"/>
        <w:rPr>
          <w:rFonts w:ascii="Calibri" w:eastAsia="Times New Roman" w:hAnsi="Calibri" w:cs="Calibri"/>
          <w:b/>
          <w:szCs w:val="24"/>
        </w:rPr>
      </w:pPr>
    </w:p>
    <w:p w14:paraId="20D5C9F2" w14:textId="77777777" w:rsidR="00EB2E62" w:rsidRPr="00CA2EA3" w:rsidRDefault="00EB2E62" w:rsidP="00EB2E62">
      <w:pPr>
        <w:jc w:val="both"/>
        <w:rPr>
          <w:rFonts w:ascii="Calibri" w:eastAsia="Times New Roman" w:hAnsi="Calibri" w:cs="Calibri"/>
          <w:szCs w:val="24"/>
        </w:rPr>
      </w:pPr>
      <w:r w:rsidRPr="00CA2EA3">
        <w:rPr>
          <w:rFonts w:ascii="Calibri" w:eastAsia="Times New Roman" w:hAnsi="Calibri" w:cs="Calibri"/>
          <w:szCs w:val="24"/>
        </w:rPr>
        <w:t xml:space="preserve">This stage establishes whether a policy, procedure or decision will have a differential impact </w:t>
      </w:r>
      <w:r w:rsidRPr="00CA2EA3">
        <w:rPr>
          <w:rFonts w:ascii="Calibri" w:eastAsia="Times New Roman" w:hAnsi="Calibri" w:cs="Calibri"/>
          <w:szCs w:val="24"/>
          <w:u w:val="single"/>
        </w:rPr>
        <w:t>from an equality perspective</w:t>
      </w:r>
      <w:r w:rsidRPr="00CA2EA3">
        <w:rPr>
          <w:rFonts w:ascii="Calibri" w:eastAsia="Times New Roman" w:hAnsi="Calibri" w:cs="Calibri"/>
          <w:szCs w:val="24"/>
        </w:rPr>
        <w:t xml:space="preserve"> on people who share protected characteristics or whether it is “equality neutral” (</w:t>
      </w:r>
      <w:proofErr w:type="gramStart"/>
      <w:r w:rsidRPr="00CA2EA3">
        <w:rPr>
          <w:rFonts w:ascii="Calibri" w:eastAsia="Times New Roman" w:hAnsi="Calibri" w:cs="Calibri"/>
          <w:szCs w:val="24"/>
        </w:rPr>
        <w:t>i.e.</w:t>
      </w:r>
      <w:proofErr w:type="gramEnd"/>
      <w:r w:rsidRPr="00CA2EA3">
        <w:rPr>
          <w:rFonts w:ascii="Calibri" w:eastAsia="Times New Roman" w:hAnsi="Calibri" w:cs="Calibri"/>
          <w:szCs w:val="24"/>
        </w:rPr>
        <w:t xml:space="preserve"> have no effect either positive or negative). </w:t>
      </w:r>
    </w:p>
    <w:p w14:paraId="1231BE67" w14:textId="77777777" w:rsidR="00EB2E62" w:rsidRPr="00CA2EA3" w:rsidRDefault="00EB2E62" w:rsidP="00EB2E62">
      <w:pPr>
        <w:spacing w:line="240" w:lineRule="auto"/>
        <w:jc w:val="both"/>
        <w:rPr>
          <w:rFonts w:ascii="Calibri" w:eastAsia="Times New Roman" w:hAnsi="Calibri" w:cs="Calibri"/>
          <w:szCs w:val="24"/>
        </w:rPr>
      </w:pPr>
    </w:p>
    <w:p w14:paraId="2A06E998" w14:textId="77777777" w:rsidR="00EC2092" w:rsidRDefault="00EB2E62" w:rsidP="00B5666A">
      <w:pPr>
        <w:jc w:val="both"/>
        <w:rPr>
          <w:rFonts w:ascii="Calibri" w:eastAsia="Times New Roman" w:hAnsi="Calibri" w:cs="Calibri"/>
          <w:b/>
          <w:szCs w:val="24"/>
        </w:rPr>
      </w:pPr>
      <w:r w:rsidRPr="00CA2EA3">
        <w:rPr>
          <w:rFonts w:ascii="Calibri" w:eastAsia="Times New Roman" w:hAnsi="Calibri" w:cs="Calibri"/>
          <w:szCs w:val="24"/>
        </w:rPr>
        <w:t xml:space="preserve">The protected characteristics </w:t>
      </w:r>
      <w:proofErr w:type="gramStart"/>
      <w:r w:rsidRPr="00CA2EA3">
        <w:rPr>
          <w:rFonts w:ascii="Calibri" w:eastAsia="Times New Roman" w:hAnsi="Calibri" w:cs="Calibri"/>
          <w:szCs w:val="24"/>
        </w:rPr>
        <w:t>are:</w:t>
      </w:r>
      <w:proofErr w:type="gramEnd"/>
      <w:r w:rsidRPr="00CA2EA3">
        <w:rPr>
          <w:rFonts w:ascii="Calibri" w:eastAsia="Times New Roman" w:hAnsi="Calibri" w:cs="Calibri"/>
          <w:szCs w:val="24"/>
        </w:rPr>
        <w:t xml:space="preserve"> age, disability, gender reassignment, pregnancy or maternity, race, religion or belief, sex and sexual orientation.</w:t>
      </w:r>
    </w:p>
    <w:p w14:paraId="36FEB5B0" w14:textId="77777777" w:rsidR="00EC2092" w:rsidRDefault="00EC2092" w:rsidP="00EB2E62">
      <w:pPr>
        <w:spacing w:line="240" w:lineRule="auto"/>
        <w:jc w:val="both"/>
        <w:rPr>
          <w:rFonts w:ascii="Calibri" w:eastAsia="Times New Roman" w:hAnsi="Calibri" w:cs="Calibri"/>
          <w:b/>
          <w:szCs w:val="24"/>
        </w:rPr>
      </w:pPr>
    </w:p>
    <w:p w14:paraId="5676681F" w14:textId="77777777" w:rsidR="00EB2E62" w:rsidRDefault="00EB2E62"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r w:rsidRPr="00B5666A">
        <w:rPr>
          <w:rFonts w:ascii="Calibri" w:eastAsia="Times New Roman" w:hAnsi="Calibri" w:cs="Calibri"/>
          <w:b/>
          <w:szCs w:val="24"/>
        </w:rPr>
        <w:t xml:space="preserve">1.  Who will benefit from this (students/staff/stakeholders)? Is there likely to be a positive impact on people who share protected characteristics, and if so, how? </w:t>
      </w:r>
      <w:r w:rsidRPr="00B5666A">
        <w:rPr>
          <w:rFonts w:ascii="Calibri" w:eastAsia="Times New Roman" w:hAnsi="Calibri" w:cs="Calibri"/>
          <w:b/>
          <w:szCs w:val="24"/>
          <w:u w:val="single"/>
        </w:rPr>
        <w:t>Or</w:t>
      </w:r>
      <w:r w:rsidRPr="00B5666A">
        <w:rPr>
          <w:rFonts w:ascii="Calibri" w:eastAsia="Times New Roman" w:hAnsi="Calibri" w:cs="Calibri"/>
          <w:b/>
          <w:szCs w:val="24"/>
        </w:rPr>
        <w:t xml:space="preserve"> is it clear at this stage that it will be equality “neutral”? </w:t>
      </w:r>
      <w:proofErr w:type="gramStart"/>
      <w:r w:rsidRPr="00B5666A">
        <w:rPr>
          <w:rFonts w:ascii="Calibri" w:eastAsia="Times New Roman" w:hAnsi="Calibri" w:cs="Calibri"/>
          <w:b/>
          <w:szCs w:val="24"/>
        </w:rPr>
        <w:t>i.e.</w:t>
      </w:r>
      <w:proofErr w:type="gramEnd"/>
      <w:r w:rsidRPr="00B5666A">
        <w:rPr>
          <w:rFonts w:ascii="Calibri" w:eastAsia="Times New Roman" w:hAnsi="Calibri" w:cs="Calibri"/>
          <w:b/>
          <w:szCs w:val="24"/>
        </w:rPr>
        <w:t xml:space="preserve"> will not have a differential impact on any equality group/s?</w:t>
      </w:r>
    </w:p>
    <w:p w14:paraId="30D7AA69" w14:textId="77777777" w:rsidR="00C94793" w:rsidRDefault="00C94793"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p>
    <w:p w14:paraId="05E58865" w14:textId="77777777" w:rsidR="00C94793" w:rsidRDefault="005F21FA" w:rsidP="4A72DA57">
      <w:pPr>
        <w:pBdr>
          <w:top w:val="single" w:sz="4" w:space="1" w:color="auto"/>
          <w:left w:val="single" w:sz="4" w:space="4" w:color="auto"/>
          <w:bottom w:val="single" w:sz="4" w:space="1" w:color="auto"/>
          <w:right w:val="single" w:sz="4" w:space="4" w:color="auto"/>
        </w:pBdr>
        <w:jc w:val="both"/>
        <w:rPr>
          <w:rFonts w:ascii="Calibri" w:eastAsia="Times New Roman" w:hAnsi="Calibri" w:cs="Calibri"/>
        </w:rPr>
      </w:pPr>
      <w:r w:rsidRPr="4A72DA57">
        <w:rPr>
          <w:rFonts w:ascii="Calibri" w:eastAsia="Times New Roman" w:hAnsi="Calibri" w:cs="Calibri"/>
        </w:rPr>
        <w:t xml:space="preserve">Protected groups are more likely to suffer financial </w:t>
      </w:r>
      <w:r w:rsidRPr="00630C52">
        <w:rPr>
          <w:rFonts w:ascii="Calibri" w:eastAsia="Times New Roman" w:hAnsi="Calibri" w:cs="Calibri"/>
        </w:rPr>
        <w:t>advantage.</w:t>
      </w:r>
      <w:r w:rsidRPr="4A72DA57">
        <w:rPr>
          <w:rFonts w:ascii="Calibri" w:eastAsia="Times New Roman" w:hAnsi="Calibri" w:cs="Calibri"/>
        </w:rPr>
        <w:t xml:space="preserve"> For example, people with a </w:t>
      </w:r>
      <w:proofErr w:type="gramStart"/>
      <w:r w:rsidRPr="4A72DA57">
        <w:rPr>
          <w:rFonts w:ascii="Calibri" w:eastAsia="Times New Roman" w:hAnsi="Calibri" w:cs="Calibri"/>
        </w:rPr>
        <w:t>disability face economic barriers</w:t>
      </w:r>
      <w:proofErr w:type="gramEnd"/>
      <w:r w:rsidRPr="4A72DA57">
        <w:rPr>
          <w:rFonts w:ascii="Calibri" w:eastAsia="Times New Roman" w:hAnsi="Calibri" w:cs="Calibri"/>
        </w:rPr>
        <w:t xml:space="preserve">, and asylum seekers have comparatively limited </w:t>
      </w:r>
      <w:r w:rsidR="00B16C1F" w:rsidRPr="4A72DA57">
        <w:rPr>
          <w:rFonts w:ascii="Calibri" w:eastAsia="Times New Roman" w:hAnsi="Calibri" w:cs="Calibri"/>
        </w:rPr>
        <w:t xml:space="preserve">options in terms of seeking work. This Policy should therefore assist financially disadvantaged groups who may not otherwise have been able to enrol on a course in further education. Attainment could also assist them in gaining employment or in gaining citizenship skills which should also have a positive impact. </w:t>
      </w:r>
    </w:p>
    <w:p w14:paraId="7196D064" w14:textId="77777777" w:rsidR="00C94793" w:rsidRDefault="00C94793"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34FF1C98" w14:textId="77777777" w:rsidR="00B16C1F" w:rsidRPr="005F21FA" w:rsidRDefault="00B16C1F"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6D072C0D" w14:textId="77777777" w:rsidR="00EB2E62" w:rsidRDefault="00EB2E62" w:rsidP="00EB2E62">
      <w:pPr>
        <w:spacing w:line="276" w:lineRule="auto"/>
        <w:jc w:val="both"/>
        <w:rPr>
          <w:rFonts w:ascii="Calibri" w:eastAsia="Times New Roman" w:hAnsi="Calibri" w:cs="Calibri"/>
          <w:szCs w:val="24"/>
        </w:rPr>
      </w:pPr>
    </w:p>
    <w:p w14:paraId="78DE145F" w14:textId="77777777" w:rsidR="00EB2E62" w:rsidRPr="00B5666A" w:rsidRDefault="00EB2E62"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r w:rsidRPr="00B5666A">
        <w:rPr>
          <w:rFonts w:ascii="Calibri" w:eastAsia="Times New Roman" w:hAnsi="Calibri" w:cs="Calibri"/>
          <w:b/>
          <w:szCs w:val="24"/>
        </w:rPr>
        <w:lastRenderedPageBreak/>
        <w:t xml:space="preserve">2.  Is there likely to be an adverse impact on people who share protected characteristics? If so, who may be affected and why? </w:t>
      </w:r>
      <w:r w:rsidRPr="00B5666A">
        <w:rPr>
          <w:rFonts w:ascii="Calibri" w:eastAsia="Times New Roman" w:hAnsi="Calibri" w:cs="Calibri"/>
          <w:b/>
          <w:szCs w:val="24"/>
          <w:u w:val="single"/>
        </w:rPr>
        <w:t>Or</w:t>
      </w:r>
      <w:r w:rsidRPr="00B5666A">
        <w:rPr>
          <w:rFonts w:ascii="Calibri" w:eastAsia="Times New Roman" w:hAnsi="Calibri" w:cs="Calibri"/>
          <w:b/>
          <w:szCs w:val="24"/>
        </w:rPr>
        <w:t xml:space="preserve"> is it clear at this stage that it will be equality “neutral”?</w:t>
      </w:r>
    </w:p>
    <w:p w14:paraId="48A21919" w14:textId="77777777" w:rsidR="00E35C65" w:rsidRDefault="00E35C65"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2AF23926" w14:textId="77777777" w:rsidR="00EB2E62" w:rsidRPr="00B16C1F" w:rsidRDefault="00B16C1F" w:rsidP="00C94793">
      <w:pPr>
        <w:pBdr>
          <w:top w:val="single" w:sz="4" w:space="1" w:color="auto"/>
          <w:left w:val="single" w:sz="4" w:space="4" w:color="auto"/>
          <w:bottom w:val="single" w:sz="4" w:space="1" w:color="auto"/>
          <w:right w:val="single" w:sz="4" w:space="4" w:color="auto"/>
        </w:pBdr>
        <w:jc w:val="both"/>
        <w:rPr>
          <w:rFonts w:ascii="Calibri" w:eastAsia="Times New Roman" w:hAnsi="Calibri" w:cs="Calibri"/>
          <w:szCs w:val="24"/>
        </w:rPr>
      </w:pPr>
      <w:r>
        <w:rPr>
          <w:rFonts w:ascii="Calibri" w:eastAsia="Times New Roman" w:hAnsi="Calibri" w:cs="Calibri"/>
          <w:szCs w:val="24"/>
        </w:rPr>
        <w:t xml:space="preserve">It is not anticipated that an adverse impact will occur. The College will provide support for those who require it in the implementation of this Policy and in the application and enrolment process. </w:t>
      </w:r>
    </w:p>
    <w:p w14:paraId="6BD18F9B" w14:textId="77777777" w:rsidR="00EB2E62" w:rsidRDefault="00EB2E62"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p>
    <w:p w14:paraId="238601FE" w14:textId="77777777" w:rsidR="00EB2E62" w:rsidRDefault="00EB2E62" w:rsidP="00EB2E62">
      <w:pPr>
        <w:spacing w:line="276" w:lineRule="auto"/>
        <w:jc w:val="both"/>
        <w:rPr>
          <w:rFonts w:ascii="Calibri" w:eastAsia="Times New Roman" w:hAnsi="Calibri" w:cs="Calibri"/>
          <w:b/>
          <w:szCs w:val="24"/>
        </w:rPr>
      </w:pPr>
    </w:p>
    <w:p w14:paraId="6E177FA7" w14:textId="77777777" w:rsidR="00EB2E62" w:rsidRPr="00B5666A" w:rsidRDefault="00EB2E62"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r w:rsidRPr="00B5666A">
        <w:rPr>
          <w:rFonts w:ascii="Calibri" w:eastAsia="Times New Roman" w:hAnsi="Calibri" w:cs="Calibri"/>
          <w:b/>
          <w:szCs w:val="24"/>
        </w:rPr>
        <w:t>3. What action will you take to ensure that you are monitor</w:t>
      </w:r>
      <w:r w:rsidR="00E35C65" w:rsidRPr="00B5666A">
        <w:rPr>
          <w:rFonts w:ascii="Calibri" w:eastAsia="Times New Roman" w:hAnsi="Calibri" w:cs="Calibri"/>
          <w:b/>
          <w:szCs w:val="24"/>
        </w:rPr>
        <w:t>ing the impact of this Policy</w:t>
      </w:r>
      <w:r w:rsidRPr="00B5666A">
        <w:rPr>
          <w:rFonts w:ascii="Calibri" w:eastAsia="Times New Roman" w:hAnsi="Calibri" w:cs="Calibri"/>
          <w:b/>
          <w:szCs w:val="24"/>
        </w:rPr>
        <w:t>?</w:t>
      </w:r>
    </w:p>
    <w:p w14:paraId="0F3CABC7" w14:textId="77777777" w:rsidR="00C94793" w:rsidRDefault="00C94793" w:rsidP="00EB2E62">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189F8C6B" w14:textId="77777777" w:rsidR="001C3D7B" w:rsidRPr="00CA2EA3" w:rsidRDefault="00B16C1F" w:rsidP="00C94793">
      <w:pPr>
        <w:pBdr>
          <w:top w:val="single" w:sz="4" w:space="1" w:color="auto"/>
          <w:left w:val="single" w:sz="4" w:space="4" w:color="auto"/>
          <w:bottom w:val="single" w:sz="4" w:space="1" w:color="auto"/>
          <w:right w:val="single" w:sz="4" w:space="4" w:color="auto"/>
        </w:pBdr>
        <w:jc w:val="both"/>
        <w:rPr>
          <w:rFonts w:ascii="Calibri" w:eastAsia="Times New Roman" w:hAnsi="Calibri" w:cs="Calibri"/>
          <w:szCs w:val="24"/>
        </w:rPr>
      </w:pPr>
      <w:r>
        <w:rPr>
          <w:rFonts w:ascii="Calibri" w:eastAsia="Times New Roman" w:hAnsi="Calibri" w:cs="Calibri"/>
          <w:szCs w:val="24"/>
        </w:rPr>
        <w:t xml:space="preserve">Student equality data regarding applications, attainment and retention is collected and analysed, and used to inform action planning. </w:t>
      </w:r>
    </w:p>
    <w:p w14:paraId="5B08B5D1" w14:textId="77777777" w:rsidR="00EB2E62" w:rsidRDefault="00EB2E62" w:rsidP="00EB2E62">
      <w:pPr>
        <w:keepLines/>
        <w:pBdr>
          <w:top w:val="single" w:sz="4" w:space="1" w:color="auto"/>
          <w:left w:val="single" w:sz="4" w:space="4" w:color="auto"/>
          <w:bottom w:val="single" w:sz="4" w:space="1" w:color="auto"/>
          <w:right w:val="single" w:sz="4" w:space="4" w:color="auto"/>
        </w:pBdr>
        <w:spacing w:before="60" w:after="60"/>
        <w:jc w:val="both"/>
        <w:rPr>
          <w:rFonts w:ascii="Calibri" w:eastAsia="Times New Roman" w:hAnsi="Calibri" w:cs="Calibri"/>
          <w:szCs w:val="24"/>
        </w:rPr>
      </w:pPr>
    </w:p>
    <w:p w14:paraId="16DEB4AB" w14:textId="77777777" w:rsidR="00241629" w:rsidRPr="00EB2E62" w:rsidRDefault="00241629" w:rsidP="00EB2E62">
      <w:pPr>
        <w:ind w:left="426" w:hanging="426"/>
        <w:rPr>
          <w:rFonts w:cs="Calibri"/>
          <w:szCs w:val="24"/>
        </w:rPr>
      </w:pPr>
    </w:p>
    <w:p w14:paraId="0AD9C6F4" w14:textId="77777777" w:rsidR="00747D9D" w:rsidRPr="00EB2E62" w:rsidRDefault="00747D9D" w:rsidP="00EB2E62">
      <w:pPr>
        <w:jc w:val="both"/>
        <w:rPr>
          <w:rFonts w:cs="Calibri"/>
          <w:szCs w:val="24"/>
        </w:rPr>
      </w:pPr>
    </w:p>
    <w:sectPr w:rsidR="00747D9D" w:rsidRPr="00EB2E62" w:rsidSect="005732EE">
      <w:footerReference w:type="default" r:id="rId20"/>
      <w:pgSz w:w="11906" w:h="16838"/>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F25C" w14:textId="77777777" w:rsidR="00981516" w:rsidRDefault="00981516" w:rsidP="00C77BB2">
      <w:pPr>
        <w:spacing w:line="240" w:lineRule="auto"/>
      </w:pPr>
      <w:r>
        <w:separator/>
      </w:r>
    </w:p>
  </w:endnote>
  <w:endnote w:type="continuationSeparator" w:id="0">
    <w:p w14:paraId="12CE239D" w14:textId="77777777" w:rsidR="00981516" w:rsidRDefault="00981516" w:rsidP="00C77BB2">
      <w:pPr>
        <w:spacing w:line="240" w:lineRule="auto"/>
      </w:pPr>
      <w:r>
        <w:continuationSeparator/>
      </w:r>
    </w:p>
  </w:endnote>
  <w:endnote w:type="continuationNotice" w:id="1">
    <w:p w14:paraId="6851035D" w14:textId="77777777" w:rsidR="00981516" w:rsidRDefault="00981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526B47" w:rsidRDefault="0052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25365055"/>
      <w:docPartObj>
        <w:docPartGallery w:val="Page Numbers (Bottom of Page)"/>
        <w:docPartUnique/>
      </w:docPartObj>
    </w:sdtPr>
    <w:sdtEndPr>
      <w:rPr>
        <w:noProof/>
      </w:rPr>
    </w:sdtEndPr>
    <w:sdtContent>
      <w:p w14:paraId="0BA279BA" w14:textId="7D4CB467" w:rsidR="00526B47" w:rsidRPr="00366CE7" w:rsidRDefault="00526B47" w:rsidP="005732EE">
        <w:pPr>
          <w:pStyle w:val="Footer"/>
          <w:tabs>
            <w:tab w:val="clear" w:pos="4513"/>
            <w:tab w:val="clear" w:pos="9026"/>
            <w:tab w:val="left" w:pos="8647"/>
            <w:tab w:val="right" w:pos="13608"/>
          </w:tabs>
          <w:rPr>
            <w:sz w:val="20"/>
            <w:szCs w:val="20"/>
          </w:rPr>
        </w:pPr>
        <w:r>
          <w:rPr>
            <w:sz w:val="20"/>
            <w:szCs w:val="20"/>
          </w:rPr>
          <w:t>Finance</w:t>
        </w:r>
        <w:r w:rsidRPr="00241629">
          <w:rPr>
            <w:sz w:val="20"/>
            <w:szCs w:val="20"/>
          </w:rPr>
          <w:t>/</w:t>
        </w:r>
        <w:r w:rsidR="005732EE">
          <w:rPr>
            <w:sz w:val="20"/>
            <w:szCs w:val="20"/>
          </w:rPr>
          <w:t>Fee</w:t>
        </w:r>
        <w:r w:rsidR="003A2C36">
          <w:rPr>
            <w:sz w:val="20"/>
            <w:szCs w:val="20"/>
          </w:rPr>
          <w:t xml:space="preserve"> </w:t>
        </w:r>
        <w:r w:rsidR="005732EE">
          <w:rPr>
            <w:sz w:val="20"/>
            <w:szCs w:val="20"/>
          </w:rPr>
          <w:t>Waiver</w:t>
        </w:r>
        <w:r w:rsidR="003A2C36">
          <w:rPr>
            <w:sz w:val="20"/>
            <w:szCs w:val="20"/>
          </w:rPr>
          <w:t xml:space="preserve"> Policy 2022-23</w:t>
        </w:r>
        <w:r w:rsidR="005732EE">
          <w:rPr>
            <w:sz w:val="20"/>
            <w:szCs w:val="20"/>
          </w:rPr>
          <w:tab/>
        </w:r>
        <w:r w:rsidR="005A75D9" w:rsidRPr="00366CE7">
          <w:rPr>
            <w:sz w:val="20"/>
            <w:szCs w:val="20"/>
          </w:rPr>
          <w:fldChar w:fldCharType="begin"/>
        </w:r>
        <w:r w:rsidRPr="00366CE7">
          <w:rPr>
            <w:sz w:val="20"/>
            <w:szCs w:val="20"/>
          </w:rPr>
          <w:instrText xml:space="preserve"> PAGE   \* MERGEFORMAT </w:instrText>
        </w:r>
        <w:r w:rsidR="005A75D9" w:rsidRPr="00366CE7">
          <w:rPr>
            <w:sz w:val="20"/>
            <w:szCs w:val="20"/>
          </w:rPr>
          <w:fldChar w:fldCharType="separate"/>
        </w:r>
        <w:r w:rsidR="00A931A1">
          <w:rPr>
            <w:noProof/>
            <w:sz w:val="20"/>
            <w:szCs w:val="20"/>
          </w:rPr>
          <w:t>4</w:t>
        </w:r>
        <w:r w:rsidR="005A75D9" w:rsidRPr="00366CE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08770236"/>
      <w:docPartObj>
        <w:docPartGallery w:val="Page Numbers (Bottom of Page)"/>
        <w:docPartUnique/>
      </w:docPartObj>
    </w:sdtPr>
    <w:sdtEndPr>
      <w:rPr>
        <w:noProof/>
      </w:rPr>
    </w:sdtEndPr>
    <w:sdtContent>
      <w:p w14:paraId="6DCCD069" w14:textId="77777777" w:rsidR="005732EE" w:rsidRPr="00366CE7" w:rsidRDefault="005732EE" w:rsidP="005732EE">
        <w:pPr>
          <w:pStyle w:val="Footer"/>
          <w:tabs>
            <w:tab w:val="clear" w:pos="4513"/>
            <w:tab w:val="clear" w:pos="9026"/>
            <w:tab w:val="left" w:pos="8647"/>
            <w:tab w:val="right" w:pos="13608"/>
          </w:tabs>
          <w:rPr>
            <w:sz w:val="20"/>
            <w:szCs w:val="20"/>
          </w:rPr>
        </w:pPr>
        <w:r>
          <w:rPr>
            <w:sz w:val="20"/>
            <w:szCs w:val="20"/>
          </w:rPr>
          <w:t>Finance</w:t>
        </w:r>
        <w:r w:rsidRPr="00241629">
          <w:rPr>
            <w:sz w:val="20"/>
            <w:szCs w:val="20"/>
          </w:rPr>
          <w:t>/</w:t>
        </w:r>
        <w:proofErr w:type="spellStart"/>
        <w:r>
          <w:rPr>
            <w:sz w:val="20"/>
            <w:szCs w:val="20"/>
          </w:rPr>
          <w:t>FeeWaiver</w:t>
        </w:r>
        <w:proofErr w:type="spellEnd"/>
        <w:r w:rsidRPr="00241629">
          <w:rPr>
            <w:sz w:val="20"/>
            <w:szCs w:val="20"/>
          </w:rPr>
          <w:t>/</w:t>
        </w:r>
        <w:r>
          <w:rPr>
            <w:sz w:val="20"/>
            <w:szCs w:val="20"/>
          </w:rPr>
          <w:t>Final/01</w:t>
        </w:r>
        <w:r>
          <w:rPr>
            <w:sz w:val="20"/>
            <w:szCs w:val="20"/>
          </w:rPr>
          <w:tab/>
        </w:r>
        <w:r w:rsidR="008938FB">
          <w:rPr>
            <w:sz w:val="20"/>
            <w:szCs w:val="20"/>
          </w:rPr>
          <w:tab/>
        </w:r>
        <w:r w:rsidR="005A75D9" w:rsidRPr="00366CE7">
          <w:rPr>
            <w:sz w:val="20"/>
            <w:szCs w:val="20"/>
          </w:rPr>
          <w:fldChar w:fldCharType="begin"/>
        </w:r>
        <w:r w:rsidRPr="00366CE7">
          <w:rPr>
            <w:sz w:val="20"/>
            <w:szCs w:val="20"/>
          </w:rPr>
          <w:instrText xml:space="preserve"> PAGE   \* MERGEFORMAT </w:instrText>
        </w:r>
        <w:r w:rsidR="005A75D9" w:rsidRPr="00366CE7">
          <w:rPr>
            <w:sz w:val="20"/>
            <w:szCs w:val="20"/>
          </w:rPr>
          <w:fldChar w:fldCharType="separate"/>
        </w:r>
        <w:r w:rsidR="00A931A1">
          <w:rPr>
            <w:noProof/>
            <w:sz w:val="20"/>
            <w:szCs w:val="20"/>
          </w:rPr>
          <w:t>5</w:t>
        </w:r>
        <w:r w:rsidR="005A75D9" w:rsidRPr="00366CE7">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183A" w14:textId="16DE4458" w:rsidR="008938FB" w:rsidRPr="00366CE7" w:rsidRDefault="008938FB" w:rsidP="005732EE">
    <w:pPr>
      <w:pStyle w:val="Footer"/>
      <w:tabs>
        <w:tab w:val="clear" w:pos="4513"/>
        <w:tab w:val="clear" w:pos="9026"/>
        <w:tab w:val="left" w:pos="8647"/>
        <w:tab w:val="right" w:pos="13608"/>
      </w:tabs>
      <w:rPr>
        <w:sz w:val="20"/>
        <w:szCs w:val="20"/>
      </w:rPr>
    </w:pPr>
    <w:r>
      <w:rPr>
        <w:sz w:val="20"/>
        <w:szCs w:val="20"/>
      </w:rPr>
      <w:tab/>
    </w:r>
    <w:r w:rsidR="005A75D9" w:rsidRPr="00366CE7">
      <w:rPr>
        <w:sz w:val="20"/>
        <w:szCs w:val="20"/>
      </w:rPr>
      <w:fldChar w:fldCharType="begin"/>
    </w:r>
    <w:r w:rsidRPr="00366CE7">
      <w:rPr>
        <w:sz w:val="20"/>
        <w:szCs w:val="20"/>
      </w:rPr>
      <w:instrText xml:space="preserve"> PAGE   \* MERGEFORMAT </w:instrText>
    </w:r>
    <w:r w:rsidR="005A75D9" w:rsidRPr="00366CE7">
      <w:rPr>
        <w:sz w:val="20"/>
        <w:szCs w:val="20"/>
      </w:rPr>
      <w:fldChar w:fldCharType="separate"/>
    </w:r>
    <w:r w:rsidR="00A931A1">
      <w:rPr>
        <w:noProof/>
        <w:sz w:val="20"/>
        <w:szCs w:val="20"/>
      </w:rPr>
      <w:t>7</w:t>
    </w:r>
    <w:r w:rsidR="005A75D9" w:rsidRPr="00366CE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4EFF" w14:textId="77777777" w:rsidR="00981516" w:rsidRDefault="00981516" w:rsidP="00C77BB2">
      <w:pPr>
        <w:spacing w:line="240" w:lineRule="auto"/>
      </w:pPr>
      <w:r>
        <w:separator/>
      </w:r>
    </w:p>
  </w:footnote>
  <w:footnote w:type="continuationSeparator" w:id="0">
    <w:p w14:paraId="37206B4D" w14:textId="77777777" w:rsidR="00981516" w:rsidRDefault="00981516" w:rsidP="00C77BB2">
      <w:pPr>
        <w:spacing w:line="240" w:lineRule="auto"/>
      </w:pPr>
      <w:r>
        <w:continuationSeparator/>
      </w:r>
    </w:p>
  </w:footnote>
  <w:footnote w:type="continuationNotice" w:id="1">
    <w:p w14:paraId="1A3C04A1" w14:textId="77777777" w:rsidR="00981516" w:rsidRDefault="009815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4C5"/>
    <w:multiLevelType w:val="hybridMultilevel"/>
    <w:tmpl w:val="7CF0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049A2"/>
    <w:multiLevelType w:val="hybridMultilevel"/>
    <w:tmpl w:val="FAE485C8"/>
    <w:lvl w:ilvl="0" w:tplc="D1843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61D09"/>
    <w:multiLevelType w:val="hybridMultilevel"/>
    <w:tmpl w:val="F1943F12"/>
    <w:lvl w:ilvl="0" w:tplc="43906A9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D66624"/>
    <w:multiLevelType w:val="multilevel"/>
    <w:tmpl w:val="73004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54CA0"/>
    <w:multiLevelType w:val="hybridMultilevel"/>
    <w:tmpl w:val="A01E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F071CA"/>
    <w:multiLevelType w:val="hybridMultilevel"/>
    <w:tmpl w:val="134A57D4"/>
    <w:lvl w:ilvl="0" w:tplc="08090001">
      <w:start w:val="1"/>
      <w:numFmt w:val="bullet"/>
      <w:lvlText w:val=""/>
      <w:lvlJc w:val="left"/>
      <w:pPr>
        <w:ind w:left="1800" w:hanging="360"/>
      </w:pPr>
      <w:rPr>
        <w:rFonts w:ascii="Symbol" w:hAnsi="Symbol" w:hint="default"/>
      </w:rPr>
    </w:lvl>
    <w:lvl w:ilvl="1" w:tplc="E5F223E2">
      <w:start w:val="1"/>
      <w:numFmt w:val="bullet"/>
      <w:lvlText w:val="•"/>
      <w:lvlJc w:val="left"/>
      <w:pPr>
        <w:ind w:left="2880" w:hanging="720"/>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1A7C65"/>
    <w:multiLevelType w:val="hybridMultilevel"/>
    <w:tmpl w:val="061E2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23E06"/>
    <w:multiLevelType w:val="hybridMultilevel"/>
    <w:tmpl w:val="7C3C8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635768"/>
    <w:multiLevelType w:val="hybridMultilevel"/>
    <w:tmpl w:val="EB92E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12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95419"/>
    <w:multiLevelType w:val="hybridMultilevel"/>
    <w:tmpl w:val="2BFA758E"/>
    <w:lvl w:ilvl="0" w:tplc="08090001">
      <w:start w:val="1"/>
      <w:numFmt w:val="bullet"/>
      <w:lvlText w:val=""/>
      <w:lvlJc w:val="left"/>
      <w:pPr>
        <w:ind w:left="1440" w:hanging="72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3F729B"/>
    <w:multiLevelType w:val="hybridMultilevel"/>
    <w:tmpl w:val="04C8CCAC"/>
    <w:lvl w:ilvl="0" w:tplc="E8301B06">
      <w:start w:val="1"/>
      <w:numFmt w:val="lowerLetter"/>
      <w:lvlText w:val="%1)"/>
      <w:lvlJc w:val="left"/>
      <w:pPr>
        <w:ind w:left="1069" w:hanging="360"/>
      </w:pPr>
      <w:rPr>
        <w:rFonts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00A2138"/>
    <w:multiLevelType w:val="hybridMultilevel"/>
    <w:tmpl w:val="E744AC7A"/>
    <w:lvl w:ilvl="0" w:tplc="6242EDA2">
      <w:start w:val="1"/>
      <w:numFmt w:val="bullet"/>
      <w:lvlText w:val=""/>
      <w:lvlJc w:val="left"/>
      <w:pPr>
        <w:ind w:left="1440" w:hanging="360"/>
      </w:pPr>
      <w:rPr>
        <w:rFonts w:ascii="Wingdings" w:hAnsi="Wingdings"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1130C7"/>
    <w:multiLevelType w:val="hybridMultilevel"/>
    <w:tmpl w:val="F38E2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13D94"/>
    <w:multiLevelType w:val="multilevel"/>
    <w:tmpl w:val="649296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7360AD"/>
    <w:multiLevelType w:val="multilevel"/>
    <w:tmpl w:val="A9B8A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A33A3"/>
    <w:multiLevelType w:val="hybridMultilevel"/>
    <w:tmpl w:val="3AFE7B5A"/>
    <w:lvl w:ilvl="0" w:tplc="08090017">
      <w:start w:val="1"/>
      <w:numFmt w:val="lowerLetter"/>
      <w:lvlText w:val="%1)"/>
      <w:lvlJc w:val="left"/>
      <w:pPr>
        <w:ind w:left="1440" w:hanging="72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B755B9"/>
    <w:multiLevelType w:val="multilevel"/>
    <w:tmpl w:val="F37EE7C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E65689F"/>
    <w:multiLevelType w:val="hybridMultilevel"/>
    <w:tmpl w:val="E4066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81183A"/>
    <w:multiLevelType w:val="hybridMultilevel"/>
    <w:tmpl w:val="2C344B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8C1650"/>
    <w:multiLevelType w:val="hybridMultilevel"/>
    <w:tmpl w:val="56BAA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560435"/>
    <w:multiLevelType w:val="hybridMultilevel"/>
    <w:tmpl w:val="522863C4"/>
    <w:lvl w:ilvl="0" w:tplc="08090017">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22" w15:restartNumberingAfterBreak="0">
    <w:nsid w:val="5AB21DAA"/>
    <w:multiLevelType w:val="multilevel"/>
    <w:tmpl w:val="252204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9005A"/>
    <w:multiLevelType w:val="hybridMultilevel"/>
    <w:tmpl w:val="6C3EF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E0C2F"/>
    <w:multiLevelType w:val="multilevel"/>
    <w:tmpl w:val="58727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927346"/>
    <w:multiLevelType w:val="hybridMultilevel"/>
    <w:tmpl w:val="1122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652BB"/>
    <w:multiLevelType w:val="hybridMultilevel"/>
    <w:tmpl w:val="295C2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AC71635"/>
    <w:multiLevelType w:val="hybridMultilevel"/>
    <w:tmpl w:val="397A4EC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057A09"/>
    <w:multiLevelType w:val="hybridMultilevel"/>
    <w:tmpl w:val="172C4FA6"/>
    <w:lvl w:ilvl="0" w:tplc="08090013">
      <w:start w:val="1"/>
      <w:numFmt w:val="upperRoman"/>
      <w:lvlText w:val="%1."/>
      <w:lvlJc w:val="righ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9" w15:restartNumberingAfterBreak="0">
    <w:nsid w:val="7D394E92"/>
    <w:multiLevelType w:val="hybridMultilevel"/>
    <w:tmpl w:val="1702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73FED"/>
    <w:multiLevelType w:val="hybridMultilevel"/>
    <w:tmpl w:val="2D1E2FAC"/>
    <w:lvl w:ilvl="0" w:tplc="BF7A477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25"/>
  </w:num>
  <w:num w:numId="4">
    <w:abstractNumId w:val="20"/>
  </w:num>
  <w:num w:numId="5">
    <w:abstractNumId w:val="24"/>
  </w:num>
  <w:num w:numId="6">
    <w:abstractNumId w:val="3"/>
  </w:num>
  <w:num w:numId="7">
    <w:abstractNumId w:val="22"/>
  </w:num>
  <w:num w:numId="8">
    <w:abstractNumId w:val="15"/>
  </w:num>
  <w:num w:numId="9">
    <w:abstractNumId w:val="8"/>
  </w:num>
  <w:num w:numId="10">
    <w:abstractNumId w:val="18"/>
  </w:num>
  <w:num w:numId="11">
    <w:abstractNumId w:val="23"/>
  </w:num>
  <w:num w:numId="12">
    <w:abstractNumId w:val="12"/>
  </w:num>
  <w:num w:numId="13">
    <w:abstractNumId w:val="13"/>
  </w:num>
  <w:num w:numId="14">
    <w:abstractNumId w:val="4"/>
  </w:num>
  <w:num w:numId="15">
    <w:abstractNumId w:val="1"/>
  </w:num>
  <w:num w:numId="16">
    <w:abstractNumId w:val="16"/>
  </w:num>
  <w:num w:numId="17">
    <w:abstractNumId w:val="7"/>
  </w:num>
  <w:num w:numId="18">
    <w:abstractNumId w:val="14"/>
  </w:num>
  <w:num w:numId="19">
    <w:abstractNumId w:val="19"/>
  </w:num>
  <w:num w:numId="20">
    <w:abstractNumId w:val="0"/>
  </w:num>
  <w:num w:numId="21">
    <w:abstractNumId w:val="10"/>
  </w:num>
  <w:num w:numId="22">
    <w:abstractNumId w:val="26"/>
  </w:num>
  <w:num w:numId="23">
    <w:abstractNumId w:val="5"/>
  </w:num>
  <w:num w:numId="24">
    <w:abstractNumId w:val="28"/>
  </w:num>
  <w:num w:numId="25">
    <w:abstractNumId w:val="27"/>
  </w:num>
  <w:num w:numId="26">
    <w:abstractNumId w:val="11"/>
  </w:num>
  <w:num w:numId="27">
    <w:abstractNumId w:val="29"/>
  </w:num>
  <w:num w:numId="28">
    <w:abstractNumId w:val="21"/>
  </w:num>
  <w:num w:numId="29">
    <w:abstractNumId w:val="6"/>
  </w:num>
  <w:num w:numId="30">
    <w:abstractNumId w:val="17"/>
  </w:num>
  <w:num w:numId="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A0"/>
    <w:rsid w:val="00012733"/>
    <w:rsid w:val="0002613B"/>
    <w:rsid w:val="00026A2D"/>
    <w:rsid w:val="00026F97"/>
    <w:rsid w:val="00037ECD"/>
    <w:rsid w:val="00040BD5"/>
    <w:rsid w:val="00043863"/>
    <w:rsid w:val="000639E8"/>
    <w:rsid w:val="00067C05"/>
    <w:rsid w:val="00091A40"/>
    <w:rsid w:val="0009450A"/>
    <w:rsid w:val="000A0576"/>
    <w:rsid w:val="000A373A"/>
    <w:rsid w:val="000A707A"/>
    <w:rsid w:val="000C7D73"/>
    <w:rsid w:val="000D29A0"/>
    <w:rsid w:val="000D75A8"/>
    <w:rsid w:val="000E3BDE"/>
    <w:rsid w:val="000E6730"/>
    <w:rsid w:val="00105065"/>
    <w:rsid w:val="00117536"/>
    <w:rsid w:val="001334AF"/>
    <w:rsid w:val="00134468"/>
    <w:rsid w:val="00142F95"/>
    <w:rsid w:val="00147775"/>
    <w:rsid w:val="00160E04"/>
    <w:rsid w:val="001748AE"/>
    <w:rsid w:val="001848A3"/>
    <w:rsid w:val="00184E9B"/>
    <w:rsid w:val="001852AA"/>
    <w:rsid w:val="0019318E"/>
    <w:rsid w:val="001973D9"/>
    <w:rsid w:val="001A6DD3"/>
    <w:rsid w:val="001C3D7B"/>
    <w:rsid w:val="001E61BC"/>
    <w:rsid w:val="001F09A3"/>
    <w:rsid w:val="001F0BC1"/>
    <w:rsid w:val="001F55A0"/>
    <w:rsid w:val="002163BA"/>
    <w:rsid w:val="002217FD"/>
    <w:rsid w:val="002273F0"/>
    <w:rsid w:val="002332F7"/>
    <w:rsid w:val="0023664A"/>
    <w:rsid w:val="00241629"/>
    <w:rsid w:val="002443B6"/>
    <w:rsid w:val="00261D03"/>
    <w:rsid w:val="00272414"/>
    <w:rsid w:val="0027711B"/>
    <w:rsid w:val="00283D5D"/>
    <w:rsid w:val="00287FB1"/>
    <w:rsid w:val="002A3FF9"/>
    <w:rsid w:val="002A5CBE"/>
    <w:rsid w:val="002A789B"/>
    <w:rsid w:val="002B207F"/>
    <w:rsid w:val="002C2276"/>
    <w:rsid w:val="002C49D2"/>
    <w:rsid w:val="002D2B29"/>
    <w:rsid w:val="002E2198"/>
    <w:rsid w:val="002E46C2"/>
    <w:rsid w:val="002F253B"/>
    <w:rsid w:val="00301ED1"/>
    <w:rsid w:val="00322178"/>
    <w:rsid w:val="003233F9"/>
    <w:rsid w:val="003334ED"/>
    <w:rsid w:val="003524E6"/>
    <w:rsid w:val="003564EB"/>
    <w:rsid w:val="00357EC8"/>
    <w:rsid w:val="00365A6F"/>
    <w:rsid w:val="00366CE7"/>
    <w:rsid w:val="00367242"/>
    <w:rsid w:val="00373C54"/>
    <w:rsid w:val="003922B3"/>
    <w:rsid w:val="00393C3C"/>
    <w:rsid w:val="0039746A"/>
    <w:rsid w:val="003A1CA0"/>
    <w:rsid w:val="003A2C36"/>
    <w:rsid w:val="003A701A"/>
    <w:rsid w:val="003B3DD9"/>
    <w:rsid w:val="003B50D6"/>
    <w:rsid w:val="003B6339"/>
    <w:rsid w:val="003C220F"/>
    <w:rsid w:val="003C3931"/>
    <w:rsid w:val="003D5B67"/>
    <w:rsid w:val="003E2F0B"/>
    <w:rsid w:val="003F0299"/>
    <w:rsid w:val="003F5F94"/>
    <w:rsid w:val="003F7FD0"/>
    <w:rsid w:val="004019BB"/>
    <w:rsid w:val="0040398B"/>
    <w:rsid w:val="00403FCD"/>
    <w:rsid w:val="00424813"/>
    <w:rsid w:val="00450709"/>
    <w:rsid w:val="00453362"/>
    <w:rsid w:val="004565BE"/>
    <w:rsid w:val="00464B9A"/>
    <w:rsid w:val="00485842"/>
    <w:rsid w:val="00495150"/>
    <w:rsid w:val="00497AAA"/>
    <w:rsid w:val="004B1E8F"/>
    <w:rsid w:val="004C215E"/>
    <w:rsid w:val="004C50B8"/>
    <w:rsid w:val="004D1C24"/>
    <w:rsid w:val="004F0DE8"/>
    <w:rsid w:val="004F3220"/>
    <w:rsid w:val="00506CDC"/>
    <w:rsid w:val="0051186C"/>
    <w:rsid w:val="005154CE"/>
    <w:rsid w:val="00526B47"/>
    <w:rsid w:val="00533209"/>
    <w:rsid w:val="00533EDF"/>
    <w:rsid w:val="00534719"/>
    <w:rsid w:val="0053652E"/>
    <w:rsid w:val="0054404E"/>
    <w:rsid w:val="005466EA"/>
    <w:rsid w:val="0056375F"/>
    <w:rsid w:val="00567447"/>
    <w:rsid w:val="005732EE"/>
    <w:rsid w:val="00576FEF"/>
    <w:rsid w:val="00577C8C"/>
    <w:rsid w:val="00590E5B"/>
    <w:rsid w:val="00596C9D"/>
    <w:rsid w:val="005A369D"/>
    <w:rsid w:val="005A75D9"/>
    <w:rsid w:val="005B05F2"/>
    <w:rsid w:val="005B2BD8"/>
    <w:rsid w:val="005B6141"/>
    <w:rsid w:val="005C097E"/>
    <w:rsid w:val="005C2AF0"/>
    <w:rsid w:val="005C3C37"/>
    <w:rsid w:val="005D225F"/>
    <w:rsid w:val="005D36B4"/>
    <w:rsid w:val="005E0564"/>
    <w:rsid w:val="005E4E60"/>
    <w:rsid w:val="005E6E5E"/>
    <w:rsid w:val="005E6F9C"/>
    <w:rsid w:val="005F21FA"/>
    <w:rsid w:val="005F25D3"/>
    <w:rsid w:val="005F4260"/>
    <w:rsid w:val="00604D42"/>
    <w:rsid w:val="006058E2"/>
    <w:rsid w:val="00620B18"/>
    <w:rsid w:val="00621D4F"/>
    <w:rsid w:val="00630C52"/>
    <w:rsid w:val="0063681D"/>
    <w:rsid w:val="006454A8"/>
    <w:rsid w:val="00654ED4"/>
    <w:rsid w:val="00662332"/>
    <w:rsid w:val="0067493A"/>
    <w:rsid w:val="0068081F"/>
    <w:rsid w:val="00691C33"/>
    <w:rsid w:val="00694600"/>
    <w:rsid w:val="006951DD"/>
    <w:rsid w:val="00696988"/>
    <w:rsid w:val="006970AE"/>
    <w:rsid w:val="0069756E"/>
    <w:rsid w:val="006A3232"/>
    <w:rsid w:val="006A6634"/>
    <w:rsid w:val="006A72C6"/>
    <w:rsid w:val="006A74F5"/>
    <w:rsid w:val="006B3C70"/>
    <w:rsid w:val="006B53EF"/>
    <w:rsid w:val="006C2AD4"/>
    <w:rsid w:val="006D0A53"/>
    <w:rsid w:val="006D1596"/>
    <w:rsid w:val="006E2DDD"/>
    <w:rsid w:val="006E4150"/>
    <w:rsid w:val="006E708F"/>
    <w:rsid w:val="006F5D49"/>
    <w:rsid w:val="006F6ADD"/>
    <w:rsid w:val="00702C40"/>
    <w:rsid w:val="00703279"/>
    <w:rsid w:val="007051AE"/>
    <w:rsid w:val="00706A4F"/>
    <w:rsid w:val="00710AA3"/>
    <w:rsid w:val="00713DFD"/>
    <w:rsid w:val="00715E8F"/>
    <w:rsid w:val="00732F9C"/>
    <w:rsid w:val="00735828"/>
    <w:rsid w:val="007367CD"/>
    <w:rsid w:val="007368E9"/>
    <w:rsid w:val="00742C5F"/>
    <w:rsid w:val="00747D9D"/>
    <w:rsid w:val="0075256B"/>
    <w:rsid w:val="0077595D"/>
    <w:rsid w:val="007810DF"/>
    <w:rsid w:val="007A2F1F"/>
    <w:rsid w:val="007B069E"/>
    <w:rsid w:val="007D2BB9"/>
    <w:rsid w:val="007E5596"/>
    <w:rsid w:val="007F388F"/>
    <w:rsid w:val="00804B9B"/>
    <w:rsid w:val="00807391"/>
    <w:rsid w:val="008174D3"/>
    <w:rsid w:val="0083151B"/>
    <w:rsid w:val="0083741B"/>
    <w:rsid w:val="008400D2"/>
    <w:rsid w:val="00847AD3"/>
    <w:rsid w:val="0085536A"/>
    <w:rsid w:val="008668C7"/>
    <w:rsid w:val="00870771"/>
    <w:rsid w:val="008830AE"/>
    <w:rsid w:val="00885F7A"/>
    <w:rsid w:val="008938FB"/>
    <w:rsid w:val="008A1966"/>
    <w:rsid w:val="008A37A8"/>
    <w:rsid w:val="008A4055"/>
    <w:rsid w:val="008A51F3"/>
    <w:rsid w:val="008B000C"/>
    <w:rsid w:val="008C144C"/>
    <w:rsid w:val="008D5ED9"/>
    <w:rsid w:val="008F381F"/>
    <w:rsid w:val="00903628"/>
    <w:rsid w:val="0090528C"/>
    <w:rsid w:val="0090536B"/>
    <w:rsid w:val="009159AF"/>
    <w:rsid w:val="00931A16"/>
    <w:rsid w:val="009321E8"/>
    <w:rsid w:val="0095175E"/>
    <w:rsid w:val="00971A73"/>
    <w:rsid w:val="009768BF"/>
    <w:rsid w:val="00981516"/>
    <w:rsid w:val="00985A36"/>
    <w:rsid w:val="009968F3"/>
    <w:rsid w:val="0099726B"/>
    <w:rsid w:val="0099737E"/>
    <w:rsid w:val="0099798E"/>
    <w:rsid w:val="009A47FE"/>
    <w:rsid w:val="009A702C"/>
    <w:rsid w:val="009B44D9"/>
    <w:rsid w:val="009B4B31"/>
    <w:rsid w:val="009C02B2"/>
    <w:rsid w:val="009D449D"/>
    <w:rsid w:val="009F20CA"/>
    <w:rsid w:val="009F7865"/>
    <w:rsid w:val="00A035F3"/>
    <w:rsid w:val="00A0435C"/>
    <w:rsid w:val="00A10CC5"/>
    <w:rsid w:val="00A14044"/>
    <w:rsid w:val="00A14F75"/>
    <w:rsid w:val="00A26F8B"/>
    <w:rsid w:val="00A366D2"/>
    <w:rsid w:val="00A5299F"/>
    <w:rsid w:val="00A57D00"/>
    <w:rsid w:val="00A64007"/>
    <w:rsid w:val="00A64C19"/>
    <w:rsid w:val="00A6591B"/>
    <w:rsid w:val="00A7134D"/>
    <w:rsid w:val="00A72E33"/>
    <w:rsid w:val="00A83A7B"/>
    <w:rsid w:val="00A931A1"/>
    <w:rsid w:val="00A97EC3"/>
    <w:rsid w:val="00AA2146"/>
    <w:rsid w:val="00AB1845"/>
    <w:rsid w:val="00AC6484"/>
    <w:rsid w:val="00AD1D0C"/>
    <w:rsid w:val="00AD374D"/>
    <w:rsid w:val="00AE4A12"/>
    <w:rsid w:val="00B062AC"/>
    <w:rsid w:val="00B06AE5"/>
    <w:rsid w:val="00B14D56"/>
    <w:rsid w:val="00B15603"/>
    <w:rsid w:val="00B16C1F"/>
    <w:rsid w:val="00B33EBE"/>
    <w:rsid w:val="00B37A54"/>
    <w:rsid w:val="00B47D10"/>
    <w:rsid w:val="00B51142"/>
    <w:rsid w:val="00B5261B"/>
    <w:rsid w:val="00B5666A"/>
    <w:rsid w:val="00B57D87"/>
    <w:rsid w:val="00B710EE"/>
    <w:rsid w:val="00B80F35"/>
    <w:rsid w:val="00B91350"/>
    <w:rsid w:val="00B95098"/>
    <w:rsid w:val="00B95E35"/>
    <w:rsid w:val="00BA13A1"/>
    <w:rsid w:val="00BC0EE4"/>
    <w:rsid w:val="00BC13AF"/>
    <w:rsid w:val="00BC314E"/>
    <w:rsid w:val="00BC4EED"/>
    <w:rsid w:val="00BE0D46"/>
    <w:rsid w:val="00BF11B7"/>
    <w:rsid w:val="00C14CFF"/>
    <w:rsid w:val="00C227BF"/>
    <w:rsid w:val="00C31805"/>
    <w:rsid w:val="00C31E7F"/>
    <w:rsid w:val="00C373CE"/>
    <w:rsid w:val="00C42159"/>
    <w:rsid w:val="00C5189A"/>
    <w:rsid w:val="00C5272F"/>
    <w:rsid w:val="00C72146"/>
    <w:rsid w:val="00C77BB2"/>
    <w:rsid w:val="00C84E21"/>
    <w:rsid w:val="00C8671F"/>
    <w:rsid w:val="00C925BB"/>
    <w:rsid w:val="00C9448C"/>
    <w:rsid w:val="00C94793"/>
    <w:rsid w:val="00CA1D6A"/>
    <w:rsid w:val="00CA2A4B"/>
    <w:rsid w:val="00CA3B48"/>
    <w:rsid w:val="00CA4035"/>
    <w:rsid w:val="00CA7E2F"/>
    <w:rsid w:val="00CB2C67"/>
    <w:rsid w:val="00CC5B3D"/>
    <w:rsid w:val="00CD569E"/>
    <w:rsid w:val="00CF7100"/>
    <w:rsid w:val="00D0698D"/>
    <w:rsid w:val="00D167C8"/>
    <w:rsid w:val="00D3157A"/>
    <w:rsid w:val="00D34834"/>
    <w:rsid w:val="00D34920"/>
    <w:rsid w:val="00D426FC"/>
    <w:rsid w:val="00D42D25"/>
    <w:rsid w:val="00D46C25"/>
    <w:rsid w:val="00D550F7"/>
    <w:rsid w:val="00D627F3"/>
    <w:rsid w:val="00DA5684"/>
    <w:rsid w:val="00DB042B"/>
    <w:rsid w:val="00DB3992"/>
    <w:rsid w:val="00DB68D7"/>
    <w:rsid w:val="00DB7C47"/>
    <w:rsid w:val="00DC57A0"/>
    <w:rsid w:val="00DD1A9D"/>
    <w:rsid w:val="00DE1236"/>
    <w:rsid w:val="00DE6540"/>
    <w:rsid w:val="00DF22A7"/>
    <w:rsid w:val="00DF4E9A"/>
    <w:rsid w:val="00DF51B1"/>
    <w:rsid w:val="00DF7253"/>
    <w:rsid w:val="00E00DB4"/>
    <w:rsid w:val="00E05CCE"/>
    <w:rsid w:val="00E11F63"/>
    <w:rsid w:val="00E12B1D"/>
    <w:rsid w:val="00E20F32"/>
    <w:rsid w:val="00E25239"/>
    <w:rsid w:val="00E35C65"/>
    <w:rsid w:val="00E42C54"/>
    <w:rsid w:val="00E44B74"/>
    <w:rsid w:val="00E47E55"/>
    <w:rsid w:val="00E56A29"/>
    <w:rsid w:val="00E67595"/>
    <w:rsid w:val="00E7511F"/>
    <w:rsid w:val="00E76CFD"/>
    <w:rsid w:val="00E8264F"/>
    <w:rsid w:val="00EA68B6"/>
    <w:rsid w:val="00EB2E62"/>
    <w:rsid w:val="00EB6C85"/>
    <w:rsid w:val="00EC2092"/>
    <w:rsid w:val="00EC25D9"/>
    <w:rsid w:val="00EC6830"/>
    <w:rsid w:val="00ED3467"/>
    <w:rsid w:val="00ED3BED"/>
    <w:rsid w:val="00ED5F8E"/>
    <w:rsid w:val="00EE1AA3"/>
    <w:rsid w:val="00EE1CF8"/>
    <w:rsid w:val="00EE2443"/>
    <w:rsid w:val="00EE7FA7"/>
    <w:rsid w:val="00EF2909"/>
    <w:rsid w:val="00EF49C4"/>
    <w:rsid w:val="00EF577A"/>
    <w:rsid w:val="00F17131"/>
    <w:rsid w:val="00F20CED"/>
    <w:rsid w:val="00F2145D"/>
    <w:rsid w:val="00F25683"/>
    <w:rsid w:val="00F3279E"/>
    <w:rsid w:val="00F353E8"/>
    <w:rsid w:val="00F50319"/>
    <w:rsid w:val="00F54474"/>
    <w:rsid w:val="00F612FB"/>
    <w:rsid w:val="00F65467"/>
    <w:rsid w:val="00F743FB"/>
    <w:rsid w:val="00F83828"/>
    <w:rsid w:val="00F864E8"/>
    <w:rsid w:val="00FA4AA2"/>
    <w:rsid w:val="00FA626F"/>
    <w:rsid w:val="00FB188A"/>
    <w:rsid w:val="00FB5530"/>
    <w:rsid w:val="00FC0CEF"/>
    <w:rsid w:val="00FC416B"/>
    <w:rsid w:val="00FD055A"/>
    <w:rsid w:val="00FD5775"/>
    <w:rsid w:val="00FD6564"/>
    <w:rsid w:val="00FE0802"/>
    <w:rsid w:val="00FF12A5"/>
    <w:rsid w:val="00FF7DF8"/>
    <w:rsid w:val="03F61104"/>
    <w:rsid w:val="195B665F"/>
    <w:rsid w:val="278CDA9F"/>
    <w:rsid w:val="397F99AE"/>
    <w:rsid w:val="4A72DA57"/>
    <w:rsid w:val="58F8429E"/>
    <w:rsid w:val="5B1A1204"/>
    <w:rsid w:val="5D9F8088"/>
    <w:rsid w:val="62B7FDCA"/>
    <w:rsid w:val="7E10B3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DE14C"/>
  <w15:docId w15:val="{9FC39824-4F33-4D33-A544-80A71CC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A0"/>
    <w:pPr>
      <w:spacing w:after="0" w:line="360" w:lineRule="auto"/>
    </w:pPr>
    <w:rPr>
      <w:sz w:val="24"/>
    </w:rPr>
  </w:style>
  <w:style w:type="paragraph" w:styleId="Heading1">
    <w:name w:val="heading 1"/>
    <w:basedOn w:val="PolicyHeading"/>
    <w:next w:val="Normal"/>
    <w:link w:val="Heading1Char"/>
    <w:uiPriority w:val="9"/>
    <w:qFormat/>
    <w:rsid w:val="00A6591B"/>
    <w:pPr>
      <w:outlineLvl w:val="0"/>
    </w:pPr>
    <w:rPr>
      <w:iCs/>
    </w:rPr>
  </w:style>
  <w:style w:type="paragraph" w:styleId="Heading2">
    <w:name w:val="heading 2"/>
    <w:basedOn w:val="Normal"/>
    <w:next w:val="Normal"/>
    <w:link w:val="Heading2Char"/>
    <w:uiPriority w:val="9"/>
    <w:semiHidden/>
    <w:unhideWhenUsed/>
    <w:qFormat/>
    <w:rsid w:val="0095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qFormat/>
    <w:rsid w:val="00CF7100"/>
    <w:rPr>
      <w:b/>
      <w:sz w:val="28"/>
      <w:szCs w:val="24"/>
    </w:rPr>
  </w:style>
  <w:style w:type="paragraph" w:customStyle="1" w:styleId="SubHeading">
    <w:name w:val="Sub Heading"/>
    <w:basedOn w:val="Normal"/>
    <w:qFormat/>
    <w:rsid w:val="00A6591B"/>
    <w:pPr>
      <w:spacing w:line="276" w:lineRule="auto"/>
    </w:pPr>
    <w:rPr>
      <w:rFonts w:ascii="Calibri" w:hAnsi="Calibri" w:cs="Tahoma"/>
      <w:b/>
      <w:bCs/>
    </w:rPr>
  </w:style>
  <w:style w:type="paragraph" w:styleId="TOC1">
    <w:name w:val="toc 1"/>
    <w:aliases w:val="Policy TOC"/>
    <w:basedOn w:val="Normal"/>
    <w:next w:val="Normal"/>
    <w:autoRedefine/>
    <w:uiPriority w:val="39"/>
    <w:unhideWhenUsed/>
    <w:qFormat/>
    <w:rsid w:val="00B5666A"/>
    <w:pPr>
      <w:tabs>
        <w:tab w:val="right" w:leader="underscore" w:pos="9016"/>
      </w:tabs>
    </w:pPr>
    <w:rPr>
      <w:b/>
      <w:bCs/>
      <w:iCs/>
      <w:sz w:val="28"/>
      <w:szCs w:val="28"/>
    </w:rPr>
  </w:style>
  <w:style w:type="table" w:styleId="TableGrid">
    <w:name w:val="Table Grid"/>
    <w:basedOn w:val="TableNormal"/>
    <w:uiPriority w:val="59"/>
    <w:rsid w:val="000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A0"/>
    <w:rPr>
      <w:rFonts w:ascii="Tahoma" w:hAnsi="Tahoma" w:cs="Tahoma"/>
      <w:sz w:val="16"/>
      <w:szCs w:val="16"/>
    </w:rPr>
  </w:style>
  <w:style w:type="paragraph" w:styleId="ListParagraph">
    <w:name w:val="List Paragraph"/>
    <w:basedOn w:val="Normal"/>
    <w:link w:val="ListParagraphChar"/>
    <w:uiPriority w:val="1"/>
    <w:qFormat/>
    <w:rsid w:val="00710AA3"/>
    <w:pPr>
      <w:ind w:left="720"/>
      <w:contextualSpacing/>
    </w:pPr>
  </w:style>
  <w:style w:type="character" w:customStyle="1" w:styleId="Heading1Char">
    <w:name w:val="Heading 1 Char"/>
    <w:basedOn w:val="DefaultParagraphFont"/>
    <w:link w:val="Heading1"/>
    <w:uiPriority w:val="9"/>
    <w:rsid w:val="00A6591B"/>
    <w:rPr>
      <w:b/>
      <w:iCs/>
      <w:sz w:val="28"/>
      <w:szCs w:val="24"/>
    </w:rPr>
  </w:style>
  <w:style w:type="character" w:customStyle="1" w:styleId="Heading2Char">
    <w:name w:val="Heading 2 Char"/>
    <w:basedOn w:val="DefaultParagraphFont"/>
    <w:link w:val="Heading2"/>
    <w:rsid w:val="009517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175E"/>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95175E"/>
    <w:pPr>
      <w:spacing w:before="120"/>
      <w:ind w:left="240"/>
    </w:pPr>
    <w:rPr>
      <w:b/>
      <w:bCs/>
      <w:sz w:val="22"/>
    </w:rPr>
  </w:style>
  <w:style w:type="paragraph" w:styleId="TOC3">
    <w:name w:val="toc 3"/>
    <w:basedOn w:val="Normal"/>
    <w:next w:val="Normal"/>
    <w:autoRedefine/>
    <w:uiPriority w:val="39"/>
    <w:unhideWhenUsed/>
    <w:rsid w:val="0095175E"/>
    <w:pPr>
      <w:ind w:left="480"/>
    </w:pPr>
    <w:rPr>
      <w:sz w:val="20"/>
      <w:szCs w:val="20"/>
    </w:rPr>
  </w:style>
  <w:style w:type="paragraph" w:styleId="TOC4">
    <w:name w:val="toc 4"/>
    <w:basedOn w:val="Normal"/>
    <w:next w:val="Normal"/>
    <w:autoRedefine/>
    <w:uiPriority w:val="39"/>
    <w:unhideWhenUsed/>
    <w:rsid w:val="0095175E"/>
    <w:pPr>
      <w:ind w:left="720"/>
    </w:pPr>
    <w:rPr>
      <w:sz w:val="20"/>
      <w:szCs w:val="20"/>
    </w:rPr>
  </w:style>
  <w:style w:type="paragraph" w:styleId="TOC5">
    <w:name w:val="toc 5"/>
    <w:basedOn w:val="Normal"/>
    <w:next w:val="Normal"/>
    <w:autoRedefine/>
    <w:uiPriority w:val="39"/>
    <w:unhideWhenUsed/>
    <w:rsid w:val="0095175E"/>
    <w:pPr>
      <w:ind w:left="960"/>
    </w:pPr>
    <w:rPr>
      <w:sz w:val="20"/>
      <w:szCs w:val="20"/>
    </w:rPr>
  </w:style>
  <w:style w:type="paragraph" w:styleId="TOC6">
    <w:name w:val="toc 6"/>
    <w:basedOn w:val="Normal"/>
    <w:next w:val="Normal"/>
    <w:autoRedefine/>
    <w:uiPriority w:val="39"/>
    <w:unhideWhenUsed/>
    <w:rsid w:val="0095175E"/>
    <w:pPr>
      <w:ind w:left="1200"/>
    </w:pPr>
    <w:rPr>
      <w:sz w:val="20"/>
      <w:szCs w:val="20"/>
    </w:rPr>
  </w:style>
  <w:style w:type="paragraph" w:styleId="TOC7">
    <w:name w:val="toc 7"/>
    <w:basedOn w:val="Normal"/>
    <w:next w:val="Normal"/>
    <w:autoRedefine/>
    <w:uiPriority w:val="39"/>
    <w:unhideWhenUsed/>
    <w:rsid w:val="0095175E"/>
    <w:pPr>
      <w:ind w:left="1440"/>
    </w:pPr>
    <w:rPr>
      <w:sz w:val="20"/>
      <w:szCs w:val="20"/>
    </w:rPr>
  </w:style>
  <w:style w:type="paragraph" w:styleId="TOC8">
    <w:name w:val="toc 8"/>
    <w:basedOn w:val="Normal"/>
    <w:next w:val="Normal"/>
    <w:autoRedefine/>
    <w:uiPriority w:val="39"/>
    <w:unhideWhenUsed/>
    <w:rsid w:val="0095175E"/>
    <w:pPr>
      <w:ind w:left="1680"/>
    </w:pPr>
    <w:rPr>
      <w:sz w:val="20"/>
      <w:szCs w:val="20"/>
    </w:rPr>
  </w:style>
  <w:style w:type="paragraph" w:styleId="TOC9">
    <w:name w:val="toc 9"/>
    <w:basedOn w:val="Normal"/>
    <w:next w:val="Normal"/>
    <w:autoRedefine/>
    <w:uiPriority w:val="39"/>
    <w:unhideWhenUsed/>
    <w:rsid w:val="0095175E"/>
    <w:pPr>
      <w:ind w:left="1920"/>
    </w:pPr>
    <w:rPr>
      <w:sz w:val="20"/>
      <w:szCs w:val="20"/>
    </w:rPr>
  </w:style>
  <w:style w:type="character" w:styleId="Hyperlink">
    <w:name w:val="Hyperlink"/>
    <w:basedOn w:val="DefaultParagraphFont"/>
    <w:uiPriority w:val="99"/>
    <w:unhideWhenUsed/>
    <w:rsid w:val="0095175E"/>
    <w:rPr>
      <w:color w:val="0000FF" w:themeColor="hyperlink"/>
      <w:u w:val="single"/>
    </w:rPr>
  </w:style>
  <w:style w:type="paragraph" w:styleId="Header">
    <w:name w:val="header"/>
    <w:basedOn w:val="Normal"/>
    <w:link w:val="HeaderChar"/>
    <w:uiPriority w:val="99"/>
    <w:unhideWhenUsed/>
    <w:rsid w:val="00C77BB2"/>
    <w:pPr>
      <w:tabs>
        <w:tab w:val="center" w:pos="4513"/>
        <w:tab w:val="right" w:pos="9026"/>
      </w:tabs>
      <w:spacing w:line="240" w:lineRule="auto"/>
    </w:pPr>
  </w:style>
  <w:style w:type="character" w:customStyle="1" w:styleId="HeaderChar">
    <w:name w:val="Header Char"/>
    <w:basedOn w:val="DefaultParagraphFont"/>
    <w:link w:val="Header"/>
    <w:uiPriority w:val="99"/>
    <w:rsid w:val="00C77BB2"/>
    <w:rPr>
      <w:sz w:val="24"/>
    </w:rPr>
  </w:style>
  <w:style w:type="paragraph" w:styleId="Footer">
    <w:name w:val="footer"/>
    <w:basedOn w:val="Normal"/>
    <w:link w:val="FooterChar"/>
    <w:uiPriority w:val="99"/>
    <w:unhideWhenUsed/>
    <w:rsid w:val="00C77BB2"/>
    <w:pPr>
      <w:tabs>
        <w:tab w:val="center" w:pos="4513"/>
        <w:tab w:val="right" w:pos="9026"/>
      </w:tabs>
      <w:spacing w:line="240" w:lineRule="auto"/>
    </w:pPr>
  </w:style>
  <w:style w:type="character" w:customStyle="1" w:styleId="FooterChar">
    <w:name w:val="Footer Char"/>
    <w:basedOn w:val="DefaultParagraphFont"/>
    <w:link w:val="Footer"/>
    <w:uiPriority w:val="99"/>
    <w:rsid w:val="00C77BB2"/>
    <w:rPr>
      <w:sz w:val="24"/>
    </w:rPr>
  </w:style>
  <w:style w:type="character" w:customStyle="1" w:styleId="ListParagraphChar">
    <w:name w:val="List Paragraph Char"/>
    <w:basedOn w:val="DefaultParagraphFont"/>
    <w:link w:val="ListParagraph"/>
    <w:uiPriority w:val="34"/>
    <w:rsid w:val="000E6730"/>
    <w:rPr>
      <w:sz w:val="24"/>
    </w:rPr>
  </w:style>
  <w:style w:type="paragraph" w:styleId="BodyText">
    <w:name w:val="Body Text"/>
    <w:basedOn w:val="Normal"/>
    <w:link w:val="BodyTextChar"/>
    <w:rsid w:val="001852AA"/>
    <w:pPr>
      <w:spacing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852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25D9"/>
    <w:rPr>
      <w:sz w:val="16"/>
      <w:szCs w:val="16"/>
    </w:rPr>
  </w:style>
  <w:style w:type="paragraph" w:styleId="CommentText">
    <w:name w:val="annotation text"/>
    <w:basedOn w:val="Normal"/>
    <w:link w:val="CommentTextChar"/>
    <w:uiPriority w:val="99"/>
    <w:unhideWhenUsed/>
    <w:rsid w:val="00EC25D9"/>
    <w:pPr>
      <w:spacing w:line="240" w:lineRule="auto"/>
    </w:pPr>
    <w:rPr>
      <w:sz w:val="20"/>
      <w:szCs w:val="20"/>
    </w:rPr>
  </w:style>
  <w:style w:type="character" w:customStyle="1" w:styleId="CommentTextChar">
    <w:name w:val="Comment Text Char"/>
    <w:basedOn w:val="DefaultParagraphFont"/>
    <w:link w:val="CommentText"/>
    <w:uiPriority w:val="99"/>
    <w:rsid w:val="00EC25D9"/>
    <w:rPr>
      <w:sz w:val="20"/>
      <w:szCs w:val="20"/>
    </w:rPr>
  </w:style>
  <w:style w:type="paragraph" w:styleId="CommentSubject">
    <w:name w:val="annotation subject"/>
    <w:basedOn w:val="CommentText"/>
    <w:next w:val="CommentText"/>
    <w:link w:val="CommentSubjectChar"/>
    <w:uiPriority w:val="99"/>
    <w:semiHidden/>
    <w:unhideWhenUsed/>
    <w:rsid w:val="00EC25D9"/>
    <w:rPr>
      <w:b/>
      <w:bCs/>
    </w:rPr>
  </w:style>
  <w:style w:type="character" w:customStyle="1" w:styleId="CommentSubjectChar">
    <w:name w:val="Comment Subject Char"/>
    <w:basedOn w:val="CommentTextChar"/>
    <w:link w:val="CommentSubject"/>
    <w:uiPriority w:val="99"/>
    <w:semiHidden/>
    <w:rsid w:val="00EC25D9"/>
    <w:rPr>
      <w:b/>
      <w:bCs/>
      <w:sz w:val="20"/>
      <w:szCs w:val="20"/>
    </w:rPr>
  </w:style>
  <w:style w:type="character" w:styleId="FollowedHyperlink">
    <w:name w:val="FollowedHyperlink"/>
    <w:basedOn w:val="DefaultParagraphFont"/>
    <w:uiPriority w:val="99"/>
    <w:semiHidden/>
    <w:unhideWhenUsed/>
    <w:rsid w:val="00AC6484"/>
    <w:rPr>
      <w:color w:val="800080" w:themeColor="followedHyperlink"/>
      <w:u w:val="single"/>
    </w:rPr>
  </w:style>
  <w:style w:type="character" w:styleId="UnresolvedMention">
    <w:name w:val="Unresolved Mention"/>
    <w:basedOn w:val="DefaultParagraphFont"/>
    <w:uiPriority w:val="99"/>
    <w:semiHidden/>
    <w:unhideWhenUsed/>
    <w:rsid w:val="003B3DD9"/>
    <w:rPr>
      <w:color w:val="605E5C"/>
      <w:shd w:val="clear" w:color="auto" w:fill="E1DFDD"/>
    </w:rPr>
  </w:style>
  <w:style w:type="paragraph" w:styleId="TOCHeading">
    <w:name w:val="TOC Heading"/>
    <w:basedOn w:val="Heading1"/>
    <w:next w:val="Normal"/>
    <w:uiPriority w:val="39"/>
    <w:unhideWhenUsed/>
    <w:qFormat/>
    <w:rsid w:val="00A6591B"/>
    <w:pPr>
      <w:spacing w:before="240" w:line="259" w:lineRule="auto"/>
      <w:outlineLvl w:val="9"/>
    </w:pPr>
    <w:rPr>
      <w:b w:val="0"/>
      <w:bCs/>
      <w:sz w:val="32"/>
      <w:szCs w:val="32"/>
      <w:lang w:val="en-US"/>
    </w:rPr>
  </w:style>
  <w:style w:type="paragraph" w:styleId="Revision">
    <w:name w:val="Revision"/>
    <w:hidden/>
    <w:uiPriority w:val="99"/>
    <w:semiHidden/>
    <w:rsid w:val="004B1E8F"/>
    <w:pPr>
      <w:spacing w:after="0" w:line="240" w:lineRule="auto"/>
    </w:pPr>
    <w:rPr>
      <w:sz w:val="24"/>
    </w:rPr>
  </w:style>
  <w:style w:type="paragraph" w:customStyle="1" w:styleId="paragraph">
    <w:name w:val="paragraph"/>
    <w:basedOn w:val="Normal"/>
    <w:rsid w:val="007367C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367CD"/>
  </w:style>
  <w:style w:type="character" w:customStyle="1" w:styleId="eop">
    <w:name w:val="eop"/>
    <w:basedOn w:val="DefaultParagraphFont"/>
    <w:rsid w:val="007367CD"/>
  </w:style>
  <w:style w:type="character" w:customStyle="1" w:styleId="tabchar">
    <w:name w:val="tabchar"/>
    <w:basedOn w:val="DefaultParagraphFont"/>
    <w:rsid w:val="004D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71785">
      <w:bodyDiv w:val="1"/>
      <w:marLeft w:val="0"/>
      <w:marRight w:val="0"/>
      <w:marTop w:val="0"/>
      <w:marBottom w:val="0"/>
      <w:divBdr>
        <w:top w:val="none" w:sz="0" w:space="0" w:color="auto"/>
        <w:left w:val="none" w:sz="0" w:space="0" w:color="auto"/>
        <w:bottom w:val="none" w:sz="0" w:space="0" w:color="auto"/>
        <w:right w:val="none" w:sz="0" w:space="0" w:color="auto"/>
      </w:divBdr>
      <w:divsChild>
        <w:div w:id="1457914967">
          <w:marLeft w:val="0"/>
          <w:marRight w:val="0"/>
          <w:marTop w:val="0"/>
          <w:marBottom w:val="0"/>
          <w:divBdr>
            <w:top w:val="none" w:sz="0" w:space="0" w:color="auto"/>
            <w:left w:val="none" w:sz="0" w:space="0" w:color="auto"/>
            <w:bottom w:val="none" w:sz="0" w:space="0" w:color="auto"/>
            <w:right w:val="none" w:sz="0" w:space="0" w:color="auto"/>
          </w:divBdr>
        </w:div>
        <w:div w:id="1941251581">
          <w:marLeft w:val="0"/>
          <w:marRight w:val="0"/>
          <w:marTop w:val="0"/>
          <w:marBottom w:val="0"/>
          <w:divBdr>
            <w:top w:val="none" w:sz="0" w:space="0" w:color="auto"/>
            <w:left w:val="none" w:sz="0" w:space="0" w:color="auto"/>
            <w:bottom w:val="none" w:sz="0" w:space="0" w:color="auto"/>
            <w:right w:val="none" w:sz="0" w:space="0" w:color="auto"/>
          </w:divBdr>
        </w:div>
        <w:div w:id="1689210579">
          <w:marLeft w:val="0"/>
          <w:marRight w:val="0"/>
          <w:marTop w:val="0"/>
          <w:marBottom w:val="0"/>
          <w:divBdr>
            <w:top w:val="none" w:sz="0" w:space="0" w:color="auto"/>
            <w:left w:val="none" w:sz="0" w:space="0" w:color="auto"/>
            <w:bottom w:val="none" w:sz="0" w:space="0" w:color="auto"/>
            <w:right w:val="none" w:sz="0" w:space="0" w:color="auto"/>
          </w:divBdr>
        </w:div>
        <w:div w:id="245116825">
          <w:marLeft w:val="0"/>
          <w:marRight w:val="0"/>
          <w:marTop w:val="0"/>
          <w:marBottom w:val="0"/>
          <w:divBdr>
            <w:top w:val="none" w:sz="0" w:space="0" w:color="auto"/>
            <w:left w:val="none" w:sz="0" w:space="0" w:color="auto"/>
            <w:bottom w:val="none" w:sz="0" w:space="0" w:color="auto"/>
            <w:right w:val="none" w:sz="0" w:space="0" w:color="auto"/>
          </w:divBdr>
        </w:div>
        <w:div w:id="654995056">
          <w:marLeft w:val="0"/>
          <w:marRight w:val="0"/>
          <w:marTop w:val="0"/>
          <w:marBottom w:val="0"/>
          <w:divBdr>
            <w:top w:val="none" w:sz="0" w:space="0" w:color="auto"/>
            <w:left w:val="none" w:sz="0" w:space="0" w:color="auto"/>
            <w:bottom w:val="none" w:sz="0" w:space="0" w:color="auto"/>
            <w:right w:val="none" w:sz="0" w:space="0" w:color="auto"/>
          </w:divBdr>
        </w:div>
        <w:div w:id="1745495850">
          <w:marLeft w:val="0"/>
          <w:marRight w:val="0"/>
          <w:marTop w:val="0"/>
          <w:marBottom w:val="0"/>
          <w:divBdr>
            <w:top w:val="none" w:sz="0" w:space="0" w:color="auto"/>
            <w:left w:val="none" w:sz="0" w:space="0" w:color="auto"/>
            <w:bottom w:val="none" w:sz="0" w:space="0" w:color="auto"/>
            <w:right w:val="none" w:sz="0" w:space="0" w:color="auto"/>
          </w:divBdr>
        </w:div>
        <w:div w:id="234560255">
          <w:marLeft w:val="0"/>
          <w:marRight w:val="0"/>
          <w:marTop w:val="0"/>
          <w:marBottom w:val="0"/>
          <w:divBdr>
            <w:top w:val="none" w:sz="0" w:space="0" w:color="auto"/>
            <w:left w:val="none" w:sz="0" w:space="0" w:color="auto"/>
            <w:bottom w:val="none" w:sz="0" w:space="0" w:color="auto"/>
            <w:right w:val="none" w:sz="0" w:space="0" w:color="auto"/>
          </w:divBdr>
        </w:div>
        <w:div w:id="914824670">
          <w:marLeft w:val="0"/>
          <w:marRight w:val="0"/>
          <w:marTop w:val="0"/>
          <w:marBottom w:val="0"/>
          <w:divBdr>
            <w:top w:val="none" w:sz="0" w:space="0" w:color="auto"/>
            <w:left w:val="none" w:sz="0" w:space="0" w:color="auto"/>
            <w:bottom w:val="none" w:sz="0" w:space="0" w:color="auto"/>
            <w:right w:val="none" w:sz="0" w:space="0" w:color="auto"/>
          </w:divBdr>
        </w:div>
        <w:div w:id="1587036854">
          <w:marLeft w:val="0"/>
          <w:marRight w:val="0"/>
          <w:marTop w:val="0"/>
          <w:marBottom w:val="0"/>
          <w:divBdr>
            <w:top w:val="none" w:sz="0" w:space="0" w:color="auto"/>
            <w:left w:val="none" w:sz="0" w:space="0" w:color="auto"/>
            <w:bottom w:val="none" w:sz="0" w:space="0" w:color="auto"/>
            <w:right w:val="none" w:sz="0" w:space="0" w:color="auto"/>
          </w:divBdr>
        </w:div>
        <w:div w:id="1534921510">
          <w:marLeft w:val="0"/>
          <w:marRight w:val="0"/>
          <w:marTop w:val="0"/>
          <w:marBottom w:val="0"/>
          <w:divBdr>
            <w:top w:val="none" w:sz="0" w:space="0" w:color="auto"/>
            <w:left w:val="none" w:sz="0" w:space="0" w:color="auto"/>
            <w:bottom w:val="none" w:sz="0" w:space="0" w:color="auto"/>
            <w:right w:val="none" w:sz="0" w:space="0" w:color="auto"/>
          </w:divBdr>
        </w:div>
        <w:div w:id="1279485316">
          <w:marLeft w:val="0"/>
          <w:marRight w:val="0"/>
          <w:marTop w:val="0"/>
          <w:marBottom w:val="0"/>
          <w:divBdr>
            <w:top w:val="none" w:sz="0" w:space="0" w:color="auto"/>
            <w:left w:val="none" w:sz="0" w:space="0" w:color="auto"/>
            <w:bottom w:val="none" w:sz="0" w:space="0" w:color="auto"/>
            <w:right w:val="none" w:sz="0" w:space="0" w:color="auto"/>
          </w:divBdr>
        </w:div>
        <w:div w:id="244919325">
          <w:marLeft w:val="0"/>
          <w:marRight w:val="0"/>
          <w:marTop w:val="0"/>
          <w:marBottom w:val="0"/>
          <w:divBdr>
            <w:top w:val="none" w:sz="0" w:space="0" w:color="auto"/>
            <w:left w:val="none" w:sz="0" w:space="0" w:color="auto"/>
            <w:bottom w:val="none" w:sz="0" w:space="0" w:color="auto"/>
            <w:right w:val="none" w:sz="0" w:space="0" w:color="auto"/>
          </w:divBdr>
        </w:div>
        <w:div w:id="1813405905">
          <w:marLeft w:val="0"/>
          <w:marRight w:val="0"/>
          <w:marTop w:val="0"/>
          <w:marBottom w:val="0"/>
          <w:divBdr>
            <w:top w:val="none" w:sz="0" w:space="0" w:color="auto"/>
            <w:left w:val="none" w:sz="0" w:space="0" w:color="auto"/>
            <w:bottom w:val="none" w:sz="0" w:space="0" w:color="auto"/>
            <w:right w:val="none" w:sz="0" w:space="0" w:color="auto"/>
          </w:divBdr>
        </w:div>
      </w:divsChild>
    </w:div>
    <w:div w:id="1747456256">
      <w:bodyDiv w:val="1"/>
      <w:marLeft w:val="0"/>
      <w:marRight w:val="0"/>
      <w:marTop w:val="0"/>
      <w:marBottom w:val="0"/>
      <w:divBdr>
        <w:top w:val="none" w:sz="0" w:space="0" w:color="auto"/>
        <w:left w:val="none" w:sz="0" w:space="0" w:color="auto"/>
        <w:bottom w:val="none" w:sz="0" w:space="0" w:color="auto"/>
        <w:right w:val="none" w:sz="0" w:space="0" w:color="auto"/>
      </w:divBdr>
      <w:divsChild>
        <w:div w:id="581454060">
          <w:marLeft w:val="0"/>
          <w:marRight w:val="0"/>
          <w:marTop w:val="0"/>
          <w:marBottom w:val="0"/>
          <w:divBdr>
            <w:top w:val="none" w:sz="0" w:space="0" w:color="auto"/>
            <w:left w:val="none" w:sz="0" w:space="0" w:color="auto"/>
            <w:bottom w:val="none" w:sz="0" w:space="0" w:color="auto"/>
            <w:right w:val="none" w:sz="0" w:space="0" w:color="auto"/>
          </w:divBdr>
        </w:div>
        <w:div w:id="85677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wcs.ac.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fc.ac.uk/web/FILES/guidance_sfcgd102021/fee-waiver-grant-policy-2021-22.pdf"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information.gov.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EEF6F64A229149B0982720FFDA5A13" ma:contentTypeVersion="14" ma:contentTypeDescription="Create a new document." ma:contentTypeScope="" ma:versionID="d10260591dce2814ae5a794436722c85">
  <xsd:schema xmlns:xsd="http://www.w3.org/2001/XMLSchema" xmlns:xs="http://www.w3.org/2001/XMLSchema" xmlns:p="http://schemas.microsoft.com/office/2006/metadata/properties" xmlns:ns3="f86d7723-5fe6-4ec1-b7ac-b8e8710b04e8" xmlns:ns4="9afe6533-685e-4fc1-877f-06d54eb63487" targetNamespace="http://schemas.microsoft.com/office/2006/metadata/properties" ma:root="true" ma:fieldsID="5a6ece46afb62d51a2ed04ebf6225786" ns3:_="" ns4:_="">
    <xsd:import namespace="f86d7723-5fe6-4ec1-b7ac-b8e8710b04e8"/>
    <xsd:import namespace="9afe6533-685e-4fc1-877f-06d54eb634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d7723-5fe6-4ec1-b7ac-b8e8710b0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e6533-685e-4fc1-877f-06d54eb63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2BD1F-0045-4F4B-A525-525CD04B3372}">
  <ds:schemaRefs>
    <ds:schemaRef ds:uri="http://schemas.microsoft.com/office/2006/documentManagement/types"/>
    <ds:schemaRef ds:uri="http://purl.org/dc/elements/1.1/"/>
    <ds:schemaRef ds:uri="f86d7723-5fe6-4ec1-b7ac-b8e8710b04e8"/>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9afe6533-685e-4fc1-877f-06d54eb63487"/>
    <ds:schemaRef ds:uri="http://purl.org/dc/dcmitype/"/>
  </ds:schemaRefs>
</ds:datastoreItem>
</file>

<file path=customXml/itemProps2.xml><?xml version="1.0" encoding="utf-8"?>
<ds:datastoreItem xmlns:ds="http://schemas.openxmlformats.org/officeDocument/2006/customXml" ds:itemID="{3E189BD2-5B4C-424B-A955-9ED4D8169F83}">
  <ds:schemaRefs>
    <ds:schemaRef ds:uri="http://schemas.openxmlformats.org/officeDocument/2006/bibliography"/>
  </ds:schemaRefs>
</ds:datastoreItem>
</file>

<file path=customXml/itemProps3.xml><?xml version="1.0" encoding="utf-8"?>
<ds:datastoreItem xmlns:ds="http://schemas.openxmlformats.org/officeDocument/2006/customXml" ds:itemID="{00A7A069-069E-4760-8EF6-56C356847BE6}">
  <ds:schemaRefs>
    <ds:schemaRef ds:uri="http://schemas.microsoft.com/sharepoint/v3/contenttype/forms"/>
  </ds:schemaRefs>
</ds:datastoreItem>
</file>

<file path=customXml/itemProps4.xml><?xml version="1.0" encoding="utf-8"?>
<ds:datastoreItem xmlns:ds="http://schemas.openxmlformats.org/officeDocument/2006/customXml" ds:itemID="{B32B7207-E88E-4609-B08E-6996A3F1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d7723-5fe6-4ec1-b7ac-b8e8710b04e8"/>
    <ds:schemaRef ds:uri="9afe6533-685e-4fc1-877f-06d54eb6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1917</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John Denny</Company>
  <LinksUpToDate>false</LinksUpToDate>
  <CharactersWithSpaces>12825</CharactersWithSpaces>
  <SharedDoc>false</SharedDoc>
  <HLinks>
    <vt:vector size="48" baseType="variant">
      <vt:variant>
        <vt:i4>4915299</vt:i4>
      </vt:variant>
      <vt:variant>
        <vt:i4>42</vt:i4>
      </vt:variant>
      <vt:variant>
        <vt:i4>0</vt:i4>
      </vt:variant>
      <vt:variant>
        <vt:i4>5</vt:i4>
      </vt:variant>
      <vt:variant>
        <vt:lpwstr>http://www.sfc.ac.uk/web/FILES/guidance_sfcgd102021/fee-waiver-grant-policy-2021-22.pdf</vt:lpwstr>
      </vt:variant>
      <vt:variant>
        <vt:lpwstr/>
      </vt:variant>
      <vt:variant>
        <vt:i4>983128</vt:i4>
      </vt:variant>
      <vt:variant>
        <vt:i4>39</vt:i4>
      </vt:variant>
      <vt:variant>
        <vt:i4>0</vt:i4>
      </vt:variant>
      <vt:variant>
        <vt:i4>5</vt:i4>
      </vt:variant>
      <vt:variant>
        <vt:lpwstr>https://www.studentinformation.gov.scot/</vt:lpwstr>
      </vt:variant>
      <vt:variant>
        <vt:lpwstr/>
      </vt:variant>
      <vt:variant>
        <vt:i4>1441851</vt:i4>
      </vt:variant>
      <vt:variant>
        <vt:i4>29</vt:i4>
      </vt:variant>
      <vt:variant>
        <vt:i4>0</vt:i4>
      </vt:variant>
      <vt:variant>
        <vt:i4>5</vt:i4>
      </vt:variant>
      <vt:variant>
        <vt:lpwstr/>
      </vt:variant>
      <vt:variant>
        <vt:lpwstr>_Toc80101332</vt:lpwstr>
      </vt:variant>
      <vt:variant>
        <vt:i4>1376315</vt:i4>
      </vt:variant>
      <vt:variant>
        <vt:i4>23</vt:i4>
      </vt:variant>
      <vt:variant>
        <vt:i4>0</vt:i4>
      </vt:variant>
      <vt:variant>
        <vt:i4>5</vt:i4>
      </vt:variant>
      <vt:variant>
        <vt:lpwstr/>
      </vt:variant>
      <vt:variant>
        <vt:lpwstr>_Toc80101331</vt:lpwstr>
      </vt:variant>
      <vt:variant>
        <vt:i4>1310779</vt:i4>
      </vt:variant>
      <vt:variant>
        <vt:i4>17</vt:i4>
      </vt:variant>
      <vt:variant>
        <vt:i4>0</vt:i4>
      </vt:variant>
      <vt:variant>
        <vt:i4>5</vt:i4>
      </vt:variant>
      <vt:variant>
        <vt:lpwstr/>
      </vt:variant>
      <vt:variant>
        <vt:lpwstr>_Toc80101330</vt:lpwstr>
      </vt:variant>
      <vt:variant>
        <vt:i4>1900602</vt:i4>
      </vt:variant>
      <vt:variant>
        <vt:i4>11</vt:i4>
      </vt:variant>
      <vt:variant>
        <vt:i4>0</vt:i4>
      </vt:variant>
      <vt:variant>
        <vt:i4>5</vt:i4>
      </vt:variant>
      <vt:variant>
        <vt:lpwstr/>
      </vt:variant>
      <vt:variant>
        <vt:lpwstr>_Toc80101329</vt:lpwstr>
      </vt:variant>
      <vt:variant>
        <vt:i4>1835066</vt:i4>
      </vt:variant>
      <vt:variant>
        <vt:i4>5</vt:i4>
      </vt:variant>
      <vt:variant>
        <vt:i4>0</vt:i4>
      </vt:variant>
      <vt:variant>
        <vt:i4>5</vt:i4>
      </vt:variant>
      <vt:variant>
        <vt:lpwstr/>
      </vt:variant>
      <vt:variant>
        <vt:lpwstr>_Toc80101328</vt:lpwstr>
      </vt:variant>
      <vt:variant>
        <vt:i4>7733248</vt:i4>
      </vt:variant>
      <vt:variant>
        <vt:i4>0</vt:i4>
      </vt:variant>
      <vt:variant>
        <vt:i4>0</vt:i4>
      </vt:variant>
      <vt:variant>
        <vt:i4>5</vt:i4>
      </vt:variant>
      <vt:variant>
        <vt:lpwstr>mailto:info@wcs.ac.uk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Clark</dc:creator>
  <cp:keywords/>
  <cp:lastModifiedBy>Jigna Bhatt</cp:lastModifiedBy>
  <cp:revision>2</cp:revision>
  <cp:lastPrinted>2020-02-24T11:53:00Z</cp:lastPrinted>
  <dcterms:created xsi:type="dcterms:W3CDTF">2022-08-24T10:06:00Z</dcterms:created>
  <dcterms:modified xsi:type="dcterms:W3CDTF">2022-08-24T10:06:00Z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0x0101009FEEF6F64A229149B0982720FFDA5A13</vt:lpwstr>
  </property>
  <property fmtid="{D5CDD505-2E9C-101B-9397-08002B2CF9AE}" pid="3" name="Order">
    <vt:r8>5806700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